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811-04-23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מגיס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אמג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מגיס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איאד מרזוק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סאמי טנוס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רביע מגיס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רסאם מגיס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David" w:hAnsi="David" w:eastAsia="Calibri"/>
                <w:b/>
                <w:b/>
                <w:bCs/>
                <w:u w:val="single"/>
                <w:rtl w:val="true"/>
              </w:rPr>
              <w:t xml:space="preserve">גזר דין   נאשם </w:t>
            </w:r>
            <w:r>
              <w:rPr>
                <w:rFonts w:eastAsia="Calibri" w:cs="David" w:ascii="David" w:hAnsi="David"/>
                <w:b/>
                <w:bCs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u w:val="single"/>
              </w:rPr>
            </w:pPr>
            <w:r>
              <w:rPr>
                <w:rFonts w:eastAsia="Calibri" w:cs="David" w:ascii="David" w:hAnsi="David"/>
                <w:b/>
                <w:bCs/>
                <w:u w:val="single"/>
                <w:rtl w:val="true"/>
              </w:rPr>
            </w:r>
            <w:bookmarkStart w:id="7" w:name="PsakDin"/>
            <w:bookmarkStart w:id="8" w:name="PsakDin"/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בעבירה של </w:t>
      </w:r>
      <w:r>
        <w:rPr>
          <w:rFonts w:ascii="David" w:hAnsi="David" w:eastAsia="David"/>
          <w:rtl w:val="true"/>
        </w:rPr>
        <w:t xml:space="preserve">רכישת ואחזקת </w:t>
      </w:r>
      <w:r>
        <w:rPr>
          <w:rFonts w:ascii="David" w:hAnsi="David" w:eastAsia="David"/>
          <w:rtl w:val="true"/>
        </w:rPr>
        <w:t>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עבירה לפי עבירה לפי </w:t>
      </w:r>
      <w:hyperlink r:id="rId6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וסיפא ל</w:t>
      </w:r>
      <w:hyperlink r:id="rId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  <w:r>
        <w:rPr>
          <w:rFonts w:eastAsia="David" w:cs="David" w:ascii="David" w:hAnsi="David"/>
          <w:u w:val="single"/>
          <w:rtl w:val="true"/>
        </w:rPr>
        <w:t>(</w:t>
      </w:r>
      <w:r>
        <w:rPr>
          <w:rFonts w:ascii="David" w:hAnsi="David" w:eastAsia="David"/>
          <w:u w:val="single"/>
          <w:rtl w:val="true"/>
        </w:rPr>
        <w:t>ביחס לנאשם</w:t>
      </w:r>
      <w:r>
        <w:rPr>
          <w:rFonts w:eastAsia="David" w:cs="David" w:ascii="David" w:hAnsi="David"/>
          <w:u w:val="single"/>
        </w:rPr>
        <w:t>2</w:t>
      </w:r>
      <w:r>
        <w:rPr>
          <w:rFonts w:eastAsia="David" w:cs="David" w:ascii="David" w:hAnsi="David"/>
          <w:u w:val="single"/>
          <w:rtl w:val="true"/>
        </w:rPr>
        <w:t>)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keepLines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בין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ובין מוראן מגיס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ישנה הכרות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בין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לבין סאמח סואעד ישנם קשרי חברות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מוראן וסאמח בני דודים ובין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למוראן ישנה הכרות מוקדמת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מוראן ווואסף מגיס הם בני דודים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keepLines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עובר לתאריך </w:t>
      </w:r>
      <w:r>
        <w:rPr>
          <w:rFonts w:eastAsia="Calibri" w:cs="David" w:ascii="David" w:hAnsi="David"/>
        </w:rPr>
        <w:t>18/2/23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הבריח </w:t>
      </w:r>
      <w:r>
        <w:rPr>
          <w:rFonts w:ascii="David" w:hAnsi="David" w:eastAsia="Calibri"/>
          <w:rtl w:val="true"/>
        </w:rPr>
        <w:t xml:space="preserve">מוראן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אקדחים מלבנון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בצוותא חדא 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לאמור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סמוך למעצרו של מוראן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18/2/23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מכר מוראן את האקדחים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keepLines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color w:val="000000"/>
          <w:sz w:val="12"/>
          <w:szCs w:val="12"/>
          <w:u w:val="single"/>
        </w:rPr>
      </w:pPr>
      <w:r>
        <w:rPr>
          <w:rFonts w:eastAsia="Calibri" w:cs="David" w:ascii="David" w:hAnsi="David"/>
          <w:color w:val="000000"/>
          <w:sz w:val="12"/>
          <w:szCs w:val="12"/>
          <w:u w:val="single"/>
          <w:rtl w:val="true"/>
        </w:rPr>
      </w:r>
    </w:p>
    <w:p>
      <w:pPr>
        <w:pStyle w:val="Normal"/>
        <w:keepLines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מוראן אל סאמח סואעד במטרה שזה יעזור לו לאתר רוכש עבור אחד האקדחים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סאמח </w:t>
      </w:r>
      <w:r>
        <w:rPr>
          <w:rFonts w:ascii="David" w:hAnsi="David"/>
          <w:rtl w:val="true"/>
        </w:rPr>
        <w:t xml:space="preserve"> פנה ל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 לו לרכוש אקדח ממוראן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הסכים לכך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בהמשך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 </w:t>
      </w:r>
      <w:r>
        <w:rPr>
          <w:rFonts w:ascii="David" w:hAnsi="David"/>
          <w:rtl w:val="true"/>
        </w:rPr>
        <w:t xml:space="preserve">עם מוראן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 אבו סנאן שהגיע עם ואסף</w:t>
      </w:r>
      <w:r>
        <w:rPr>
          <w:rFonts w:ascii="David" w:hAnsi="David"/>
          <w:rtl w:val="true"/>
        </w:rPr>
        <w:t xml:space="preserve"> מגיס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נושאים ומובילים בצוותא חדא אקדח שהינו נשק שסוגל לירות כדור שבכוחו להמית אדם וכן מחסנית תואמת שמהווה אביזר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הפגישה רכש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ממוראן ומואסף </w:t>
      </w:r>
      <w:r>
        <w:rPr>
          <w:rFonts w:ascii="David" w:hAnsi="David"/>
          <w:rtl w:val="true"/>
        </w:rPr>
        <w:t xml:space="preserve">את האקדח והמחסנית התואמת </w:t>
      </w:r>
      <w:r>
        <w:rPr>
          <w:rFonts w:ascii="David" w:hAnsi="David"/>
          <w:rtl w:val="true"/>
        </w:rPr>
        <w:t>תמורת סכום שאינו ידוע במדויק למאשימה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המשיך להחזיק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לאחר מספר 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החזיר</w:t>
      </w:r>
      <w:r>
        <w:rPr>
          <w:rFonts w:ascii="David" w:hAnsi="David"/>
          <w:rtl w:val="true"/>
        </w:rPr>
        <w:t xml:space="preserve">ו למוראן בטענה שאינו </w:t>
      </w:r>
      <w:r>
        <w:rPr>
          <w:rFonts w:ascii="David" w:hAnsi="David"/>
          <w:rtl w:val="true"/>
        </w:rPr>
        <w:t xml:space="preserve">תקין </w:t>
      </w:r>
      <w:r>
        <w:rPr>
          <w:rFonts w:ascii="David" w:hAnsi="David"/>
          <w:rtl w:val="true"/>
        </w:rPr>
        <w:t xml:space="preserve">והאחרון </w:t>
      </w:r>
      <w:r>
        <w:rPr>
          <w:rFonts w:ascii="David" w:hAnsi="David"/>
          <w:rtl w:val="true"/>
        </w:rPr>
        <w:t xml:space="preserve"> החזיר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 מסכום הרכישה</w:t>
      </w:r>
      <w:r>
        <w:rPr>
          <w:rFonts w:cs="David" w:ascii="David" w:hAnsi="David"/>
          <w:rtl w:val="true"/>
        </w:rPr>
        <w:t xml:space="preserve">. 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במעשיו המתוארים לעיל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 והחזיק אקדח ומחסנית 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567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העבירה בה הורשע הנאשם תוך מתן דגש על תופעת האלימות והטלת מורא על הציבור באמצעות נשק 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ושלטון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המאשימה הפנתה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בדבר קביעת עונשי מינימום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תיקון שיש בו כדי להצביע על רצון המחוקק והצורך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>החמרה בענישה</w:t>
      </w:r>
      <w:r>
        <w:rPr>
          <w:rFonts w:eastAsia="Calibri"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 והמאמץ התביעתי להביא לצמצום</w:t>
      </w:r>
      <w:r>
        <w:rPr>
          <w:rFonts w:ascii="David" w:hAnsi="David"/>
          <w:rtl w:val="true"/>
        </w:rPr>
        <w:t xml:space="preserve"> התופעה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לנסיבות ביצוע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הדגישה כי מדובר במעשה מתוכנ</w:t>
      </w:r>
      <w:r>
        <w:rPr>
          <w:rFonts w:ascii="David" w:hAnsi="David" w:eastAsia="David"/>
          <w:rtl w:val="true"/>
        </w:rPr>
        <w:t xml:space="preserve">ן כאשר </w:t>
      </w:r>
      <w:r>
        <w:rPr>
          <w:rFonts w:ascii="David" w:hAnsi="David" w:eastAsia="David"/>
          <w:rtl w:val="true"/>
        </w:rPr>
        <w:t>הנאשם הבין את מעשיו והשלכותיהן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הפנתה ל</w:t>
      </w:r>
      <w:r>
        <w:rPr>
          <w:rFonts w:ascii="David" w:hAnsi="David"/>
          <w:rtl w:val="true"/>
        </w:rPr>
        <w:t>פוטנציאל הנזק הרב והחמור הצפוי להיגרם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אמנם הנשק הוחזק אצל הנאשם למספר ימים בודדים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</w:t>
      </w:r>
      <w:r>
        <w:rPr>
          <w:rFonts w:ascii="David" w:hAnsi="David"/>
          <w:rtl w:val="true"/>
        </w:rPr>
        <w:t>ברור כי נעשה</w:t>
      </w:r>
      <w:r>
        <w:rPr>
          <w:rFonts w:ascii="David" w:hAnsi="David"/>
          <w:rtl w:val="true"/>
        </w:rPr>
        <w:t xml:space="preserve"> ניסיון להשתמש </w:t>
      </w:r>
      <w:r>
        <w:rPr>
          <w:rFonts w:ascii="David" w:hAnsi="David"/>
          <w:rtl w:val="true"/>
        </w:rPr>
        <w:t xml:space="preserve">בנשק על מנת </w:t>
      </w:r>
      <w:r>
        <w:rPr>
          <w:rFonts w:ascii="David" w:hAnsi="David"/>
          <w:rtl w:val="true"/>
        </w:rPr>
        <w:t xml:space="preserve"> לוודא את תקינותו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הנאשם לא הסגיר את הנשק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הקטין את פוטנציאל הסיכון הנשקף מהנשק ולא קטע מעגל המשתמשים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לאמור בתסקיר שירות המבחן והמלצותיו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כי </w:t>
      </w:r>
      <w:r>
        <w:rPr>
          <w:rFonts w:ascii="David" w:hAnsi="David"/>
          <w:rtl w:val="true"/>
        </w:rPr>
        <w:t xml:space="preserve">אלו אינן מחייבות </w:t>
      </w:r>
      <w:r>
        <w:rPr>
          <w:rFonts w:ascii="David" w:hAnsi="David"/>
          <w:rtl w:val="true"/>
        </w:rPr>
        <w:t>את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לא לאמץ את המלצתו הסופית שכן היא משקפת את האינטרס של הנאשם ומתעלמת מהאינטרס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עונש המינימום הקבוע 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הפסיקה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להודאתו המידית של הנאשם בכתב אישום מתוקן והעדר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באשר לגזר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דין שנגזר על הנאשם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ומבלי להתעלם מהעובדה כי מדובר באותה פרשייה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ציינה </w:t>
      </w:r>
      <w:r>
        <w:rPr>
          <w:rFonts w:ascii="David" w:hAnsi="David" w:eastAsia="Calibri"/>
          <w:rtl w:val="true"/>
        </w:rPr>
        <w:t xml:space="preserve">כי אמנם הוא מהווה אמת </w:t>
      </w:r>
      <w:r>
        <w:rPr>
          <w:rFonts w:ascii="David" w:hAnsi="David" w:eastAsia="Calibri"/>
          <w:rtl w:val="true"/>
        </w:rPr>
        <w:t>מידה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</w:t>
      </w:r>
      <w:r>
        <w:rPr>
          <w:rFonts w:ascii="David" w:hAnsi="David" w:eastAsia="Calibri"/>
          <w:rtl w:val="true"/>
        </w:rPr>
        <w:t xml:space="preserve"> אינו </w:t>
      </w:r>
      <w:r>
        <w:rPr>
          <w:rFonts w:ascii="David" w:hAnsi="David" w:eastAsia="Calibri"/>
          <w:rtl w:val="true"/>
        </w:rPr>
        <w:t xml:space="preserve"> מחייב את בית המשפט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למקם את עונשו של הנאשם ברף התחתון של המתחם </w:t>
      </w:r>
      <w:r>
        <w:rPr>
          <w:rFonts w:ascii="David" w:hAnsi="David" w:eastAsia="Calibri"/>
          <w:rtl w:val="true"/>
        </w:rPr>
        <w:t>בצ</w:t>
      </w:r>
      <w:r>
        <w:rPr>
          <w:rFonts w:ascii="David" w:hAnsi="David" w:eastAsia="Calibri"/>
          <w:rtl w:val="true"/>
        </w:rPr>
        <w:t>ד מאסר מותנה מרתיע וקנס כספי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ההגנה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8"/>
          <w:szCs w:val="18"/>
          <w:u w:val="single"/>
        </w:rPr>
      </w:pPr>
      <w:r>
        <w:rPr>
          <w:rFonts w:eastAsia="David" w:cs="David" w:ascii="David" w:hAnsi="David"/>
          <w:b/>
          <w:bCs/>
          <w:sz w:val="18"/>
          <w:szCs w:val="1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הפנה </w:t>
      </w:r>
      <w:r>
        <w:rPr>
          <w:rFonts w:ascii="David" w:hAnsi="David" w:eastAsia="Calibri"/>
          <w:rtl w:val="true"/>
        </w:rPr>
        <w:t>לעובדה שלאחר תיקון כתב האישום מדובר בתיק המצוי בסמכותו של בית משפט השלום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ובהתאם רמת הענישה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היותו נשוי ואב לילד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שירת שירות צבאי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 לפרנסתו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עבר פלילי ומנהל אורח חיים נורמטיבי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בתקופה בה היה הנאשם עצור מאחורי סורג ובריח ובהמשך התקופה בה הוא עצור באיזוק אלקטרוני בתנאים מגבילים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תקופה אשר היוותה </w:t>
      </w:r>
      <w:r>
        <w:rPr>
          <w:rFonts w:ascii="David" w:hAnsi="David" w:eastAsia="Calibri"/>
          <w:rtl w:val="true"/>
        </w:rPr>
        <w:t xml:space="preserve"> ומהוה </w:t>
      </w:r>
      <w:r>
        <w:rPr>
          <w:rFonts w:ascii="David" w:hAnsi="David" w:eastAsia="Calibri"/>
          <w:rtl w:val="true"/>
        </w:rPr>
        <w:t>עבורו גורם מרתיע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לא נרשמו לחובתו כל הפרות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הוא שולב </w:t>
      </w:r>
      <w:r>
        <w:rPr>
          <w:rFonts w:ascii="David" w:hAnsi="David" w:eastAsia="Calibri"/>
          <w:rtl w:val="true"/>
        </w:rPr>
        <w:t xml:space="preserve">בהצלחה </w:t>
      </w:r>
      <w:r>
        <w:rPr>
          <w:rFonts w:ascii="David" w:hAnsi="David" w:eastAsia="Calibri"/>
          <w:rtl w:val="true"/>
        </w:rPr>
        <w:t xml:space="preserve">בקבוצה טיפולית </w:t>
      </w:r>
      <w:r>
        <w:rPr>
          <w:rFonts w:ascii="David" w:hAnsi="David" w:eastAsia="Calibri"/>
          <w:rtl w:val="true"/>
        </w:rPr>
        <w:t xml:space="preserve">במסגרתה הוא </w:t>
      </w:r>
      <w:r>
        <w:rPr>
          <w:rFonts w:ascii="David" w:hAnsi="David" w:eastAsia="Calibri"/>
          <w:rtl w:val="true"/>
        </w:rPr>
        <w:t xml:space="preserve">עובר </w:t>
      </w:r>
      <w:r>
        <w:rPr>
          <w:rFonts w:ascii="David" w:hAnsi="David" w:eastAsia="Calibri"/>
          <w:rtl w:val="true"/>
        </w:rPr>
        <w:t>הליכי שיקום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ומבלי להמעיט בחומרתה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לאלימות ולאובדן הביטחון האישי בחברה הערבית אשר הובילה אנשים נורמטיביים כגון הנאשם לרכישת נשק והחזקתו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</w:t>
      </w:r>
      <w:r>
        <w:rPr>
          <w:rFonts w:ascii="David" w:hAnsi="David" w:eastAsia="Calibri"/>
          <w:rtl w:val="true"/>
        </w:rPr>
        <w:t>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העסקה התרחשה במקום עבודתו של הנאשם ולא במרחב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החזיק בנשק למספר ימים בודדים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והחזירו בטענה שקרית שהנשק תקול וזאת בעקבות חרטה וחשש מהמוכר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 להפנות לעובדה כי הנאשם לא רכש נשק אחר</w:t>
      </w:r>
      <w:r>
        <w:rPr>
          <w:rFonts w:ascii="David" w:hAnsi="David" w:eastAsia="Calibri"/>
          <w:rtl w:val="true"/>
        </w:rPr>
        <w:t xml:space="preserve"> במקומו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ובכך </w:t>
      </w:r>
      <w:r>
        <w:rPr>
          <w:rFonts w:ascii="David" w:hAnsi="David" w:eastAsia="Calibri"/>
          <w:rtl w:val="true"/>
        </w:rPr>
        <w:t xml:space="preserve">פחת </w:t>
      </w:r>
      <w:r>
        <w:rPr>
          <w:rFonts w:ascii="David" w:hAnsi="David" w:eastAsia="Calibri"/>
          <w:rtl w:val="true"/>
        </w:rPr>
        <w:t xml:space="preserve">פוטנציאל </w:t>
      </w:r>
      <w:r>
        <w:rPr>
          <w:rFonts w:ascii="David" w:hAnsi="David" w:eastAsia="Calibri"/>
          <w:rtl w:val="true"/>
        </w:rPr>
        <w:t>הסיכון</w:t>
      </w:r>
      <w:r>
        <w:rPr>
          <w:rFonts w:ascii="David" w:hAnsi="David" w:eastAsia="Calibri"/>
          <w:rtl w:val="true"/>
        </w:rPr>
        <w:t xml:space="preserve"> לשימוש</w:t>
      </w:r>
      <w:r>
        <w:rPr>
          <w:rFonts w:ascii="David" w:hAnsi="David" w:eastAsia="Calibri"/>
          <w:rtl w:val="true"/>
        </w:rPr>
        <w:t xml:space="preserve"> בנשק מידיו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לאמור בתסקיר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לשים דגש על החלקים החיוביים והפנה לפסיקה </w:t>
      </w:r>
      <w:r>
        <w:rPr>
          <w:rFonts w:ascii="David" w:hAnsi="David" w:eastAsia="Calibri"/>
          <w:rtl w:val="true"/>
        </w:rPr>
        <w:t xml:space="preserve"> לפיה ענישה שיקומית יכולה לדור בכפיפה אחת גם עם </w:t>
      </w:r>
      <w:r>
        <w:rPr>
          <w:rFonts w:ascii="David" w:hAnsi="David" w:eastAsia="Calibri"/>
          <w:rtl w:val="true"/>
        </w:rPr>
        <w:t xml:space="preserve"> מאסר בעבודות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ובכך יתאפשר שיקומו של הנאשם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 וטען למתחם עונש</w:t>
      </w:r>
      <w:r>
        <w:rPr>
          <w:rFonts w:ascii="David" w:hAnsi="David" w:eastAsia="Calibri"/>
          <w:rtl w:val="true"/>
        </w:rPr>
        <w:t xml:space="preserve"> הולם ש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 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הפנה </w:t>
      </w:r>
      <w:r>
        <w:rPr>
          <w:rFonts w:ascii="David" w:hAnsi="David" w:eastAsia="Calibri"/>
          <w:rtl w:val="true"/>
        </w:rPr>
        <w:t xml:space="preserve">לגזר דין אשר ניתן בעניינו של הנאשם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באותו פרשייה שם נקבע בעבירת רכישה והחזקה של שני אקדחים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מתחם עונש אשר נע בין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ובהעדר שיקולים לחומרה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למקם את עונשו של הנאשם ברף התחתון של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</w:t>
      </w:r>
      <w:r>
        <w:rPr>
          <w:rFonts w:ascii="David" w:hAnsi="David" w:eastAsia="Calibri"/>
          <w:rtl w:val="true"/>
        </w:rPr>
        <w:t xml:space="preserve"> על מעשיו </w:t>
      </w:r>
      <w:r>
        <w:rPr>
          <w:rFonts w:ascii="David" w:hAnsi="David" w:eastAsia="Calibri"/>
          <w:rtl w:val="true"/>
        </w:rPr>
        <w:t xml:space="preserve"> והביע חרטה על 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 את רצונו לחזור לאשתו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חיק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</w:t>
      </w:r>
      <w:r>
        <w:rPr>
          <w:rFonts w:ascii="David" w:hAnsi="David" w:eastAsia="Calibri"/>
          <w:rtl w:val="true"/>
        </w:rPr>
        <w:t>שגרת חייו ועבודתו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הטיפול אותו הוא מקבל מיטיב עמו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sz w:val="18"/>
          <w:szCs w:val="18"/>
        </w:rPr>
      </w:pPr>
      <w:r>
        <w:rPr>
          <w:rFonts w:eastAsia="Calibri"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תסקיר שירות המבחן</w:t>
      </w:r>
      <w:r>
        <w:rPr>
          <w:rFonts w:eastAsia="Calibri"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בתסקיר שירות המבחן פורטו בהרחבה נסיבותיו האישיות של הנאשם</w:t>
      </w:r>
      <w:r>
        <w:rPr>
          <w:rFonts w:ascii="David" w:hAnsi="David" w:eastAsia="Calibri"/>
          <w:rtl w:val="true"/>
        </w:rPr>
        <w:t xml:space="preserve"> אשר</w:t>
      </w:r>
      <w:r>
        <w:rPr>
          <w:rFonts w:ascii="David" w:hAnsi="David" w:eastAsia="Calibri"/>
          <w:rtl w:val="true"/>
        </w:rPr>
        <w:t xml:space="preserve"> שמר על יציבות תפקודית במסגר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ת החינו</w:t>
      </w:r>
      <w:r>
        <w:rPr>
          <w:rFonts w:ascii="David" w:hAnsi="David" w:eastAsia="Calibri"/>
          <w:rtl w:val="true"/>
        </w:rPr>
        <w:t>כיות והתעסוקתיות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אך לא הצליח לסיים כנדרש את שירותו הצבאי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התרשם כי הנאשם מתקשה להבין את חומרת העבירות ואת הסיכון הממשי לפגיעה בשלום הציבור ובחיי אדם הטמון במעשיו ובהחזקת כלי נשק</w:t>
      </w:r>
      <w:r>
        <w:rPr>
          <w:rFonts w:ascii="David" w:hAnsi="David" w:eastAsia="Calibri"/>
          <w:rtl w:val="true"/>
        </w:rPr>
        <w:t xml:space="preserve"> באופן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התרשם כי הנאשם ערך מאמצים להציג פאסדה של אדם חיובי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שולל חלקים אלימים באישיותו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ההתרשמות היא מנאשם שמאופיין באישיות גברית לא בשלה ואימפולסיבית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כגורמי 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מנה את חומרת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הפגיעה שהיה יכול להסב לשלום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וקשייו של הנאשם להפנים את האיסורים </w:t>
      </w:r>
      <w:r>
        <w:rPr>
          <w:rFonts w:ascii="David" w:hAnsi="David" w:eastAsia="Calibri"/>
          <w:rtl w:val="true"/>
        </w:rPr>
        <w:t xml:space="preserve">הקבועים </w:t>
      </w:r>
      <w:r>
        <w:rPr>
          <w:rFonts w:ascii="David" w:hAnsi="David" w:eastAsia="Calibri"/>
          <w:rtl w:val="true"/>
        </w:rPr>
        <w:t>בחוק ביחס לעבירות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כגורמי סיכוי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שקל את העובדה כי מדובר בנאשם נעדר עבר פלילי ואת מחויבותו למשפחתו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שירות המבחן התרשם כי לא ניתן לשלול </w:t>
      </w:r>
      <w:r>
        <w:rPr>
          <w:rFonts w:ascii="David" w:hAnsi="David" w:eastAsia="Calibri"/>
          <w:rtl w:val="true"/>
        </w:rPr>
        <w:t xml:space="preserve">סיכון </w:t>
      </w:r>
      <w:r>
        <w:rPr>
          <w:rFonts w:ascii="David" w:hAnsi="David" w:eastAsia="Calibri"/>
          <w:rtl w:val="true"/>
        </w:rPr>
        <w:t>להישנות ביצוע עבירות דומות בעתיד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ובהעדר ביטויי מצוקה רגשית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נמנע מהמלצה </w:t>
      </w:r>
      <w:r>
        <w:rPr>
          <w:rFonts w:ascii="David" w:hAnsi="David" w:eastAsia="Calibri"/>
          <w:rtl w:val="true"/>
        </w:rPr>
        <w:t xml:space="preserve">שיקומית והומלץ </w:t>
      </w:r>
      <w:r>
        <w:rPr>
          <w:rFonts w:ascii="David" w:hAnsi="David" w:eastAsia="Calibri"/>
          <w:rtl w:val="true"/>
        </w:rPr>
        <w:t xml:space="preserve">על הטלת עונש של מאסר שירוצה בעבודות שירות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מאסר על תנאי וקנס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hyperlink r:id="rId9">
        <w:r>
          <w:rPr>
            <w:rStyle w:val="Hyperlink"/>
            <w:rFonts w:ascii="David" w:hAnsi="David" w:eastAsia="David"/>
            <w:rtl w:val="true"/>
          </w:rPr>
          <w:t>פרק 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סעיפים </w:t>
      </w:r>
      <w:r>
        <w:rPr>
          <w:rFonts w:eastAsia="David" w:cs="David" w:ascii="David" w:hAnsi="David"/>
        </w:rPr>
        <w:t>40</w:t>
      </w:r>
      <w:r>
        <w:rPr>
          <w:rFonts w:ascii="David" w:hAnsi="David" w:eastAsia="David"/>
          <w:rtl w:val="true"/>
        </w:rPr>
        <w:t>א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טו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fldChar w:fldCharType="begin"/>
      </w:r>
      <w:r>
        <w:rPr>
          <w:rtl w:val="true"/>
          <w:rStyle w:val="Hyperlink"/>
          <w:rFonts w:ascii="David" w:hAnsi="David" w:eastAsia="David"/>
        </w:rPr>
        <w:instrText xml:space="preserve"> HYPERLINK "http://www.nevo.co.il/law/70301/40" \l "a"</w:instrText>
      </w:r>
      <w:r>
        <w:rPr>
          <w:rtl w:val="true"/>
          <w:rStyle w:val="Hyperlink"/>
          <w:rFonts w:ascii="David" w:hAnsi="David" w:eastAsia="David"/>
        </w:rPr>
        <w:fldChar w:fldCharType="separate"/>
      </w:r>
      <w:r>
        <w:rPr>
          <w:rStyle w:val="Hyperlink"/>
          <w:rFonts w:ascii="David" w:hAnsi="David" w:eastAsia="David"/>
          <w:rtl w:val="true"/>
        </w:rPr>
        <w:t>ס</w:t>
      </w:r>
      <w:r>
        <w:rPr>
          <w:rtl w:val="true"/>
          <w:rStyle w:val="Hyperlink"/>
          <w:rFonts w:ascii="David" w:hAnsi="David" w:eastAsia="David"/>
        </w:rPr>
        <w:fldChar w:fldCharType="end"/>
      </w:r>
      <w:r>
        <w:rPr>
          <w:rStyle w:val="Hyperlink"/>
          <w:rFonts w:eastAsia="David" w:cs="David" w:ascii="David" w:hAnsi="David"/>
          <w:rtl w:val="true"/>
        </w:rPr>
        <w:t>'</w:t>
      </w:r>
      <w:r>
        <w:rPr>
          <w:rStyle w:val="Hyperlink"/>
          <w:rFonts w:eastAsia="David" w:cs="David" w:ascii="David" w:hAnsi="David"/>
        </w:rPr>
        <w:t>40</w:t>
      </w:r>
      <w:r>
        <w:rPr>
          <w:rStyle w:val="Hyperlink"/>
          <w:rFonts w:eastAsia="David" w:cs="David" w:ascii="David" w:hAnsi="David"/>
          <w:rtl w:val="true"/>
        </w:rPr>
        <w:t>.</w:t>
      </w:r>
      <w:r>
        <w:rPr>
          <w:rStyle w:val="Hyperlink"/>
          <w:rFonts w:ascii="David" w:hAnsi="David" w:eastAsia="David"/>
          <w:rtl w:val="true"/>
        </w:rPr>
        <w:t>א</w:t>
      </w:r>
      <w:r>
        <w:rPr>
          <w:rStyle w:val="Hyperlink"/>
          <w:rFonts w:eastAsia="David" w:cs="David" w:ascii="David" w:hAnsi="David"/>
          <w:rtl w:val="true"/>
        </w:rPr>
        <w:t>).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 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 xml:space="preserve">הערכים המוגנים שנפגעו כתוצאה מביצוע העבירות נשוא כתב האישום המתוקן הינם </w:t>
      </w:r>
      <w:r>
        <w:rPr>
          <w:rFonts w:ascii="David" w:hAnsi="David" w:eastAsia="David"/>
          <w:spacing w:val="10"/>
          <w:rtl w:val="true"/>
        </w:rPr>
        <w:t>הצורך בשמירה 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 ובנפש והצורך בשמירה 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להחזיק בנשק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 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מחייבת </w:t>
      </w:r>
      <w:r>
        <w:rPr>
          <w:rFonts w:ascii="David" w:hAnsi="David" w:eastAsia="David"/>
          <w:rtl w:val="true"/>
        </w:rPr>
        <w:t xml:space="preserve"> מתן </w:t>
      </w:r>
      <w:r>
        <w:rPr>
          <w:rFonts w:ascii="David" w:hAnsi="David" w:eastAsia="David"/>
          <w:rtl w:val="true"/>
        </w:rPr>
        <w:t>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1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1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1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של ממש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 לאחרונה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hyperlink r:id="rId1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מחאמיד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24</w:t>
      </w:r>
      <w:r>
        <w:rPr>
          <w:rFonts w:eastAsia="David" w:cs="David" w:ascii="David" w:hAnsi="David"/>
          <w:b/>
          <w:bCs/>
          <w:rtl w:val="true"/>
        </w:rPr>
        <w:t xml:space="preserve"> 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29.6.2021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1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סאלח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8</w:t>
      </w:r>
      <w:r>
        <w:rPr>
          <w:rFonts w:eastAsia="David" w:cs="David" w:ascii="David" w:hAnsi="David"/>
          <w:b/>
          <w:bCs/>
          <w:rtl w:val="true"/>
        </w:rPr>
        <w:t xml:space="preserve"> 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29.11.2021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1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עייאט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מדינת ישראל </w:t>
      </w:r>
      <w:r>
        <w:rPr>
          <w:rFonts w:eastAsia="David" w:cs="David" w:ascii="David" w:hAnsi="David"/>
          <w:b/>
          <w:bCs/>
          <w:rtl w:val="true"/>
        </w:rPr>
        <w:t>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2.9.2021</w:t>
      </w:r>
      <w:r>
        <w:rPr>
          <w:rFonts w:eastAsia="David" w:cs="David" w:ascii="David" w:hAnsi="David"/>
          <w:b/>
          <w:bCs/>
          <w:rtl w:val="true"/>
        </w:rPr>
        <w:t xml:space="preserve">)). 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1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 xml:space="preserve">) – </w:t>
      </w:r>
      <w:r>
        <w:rPr>
          <w:rFonts w:ascii="David" w:hAnsi="David" w:eastAsia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1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1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על מנת לשדר מסר מרתיע מפני ביצוען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 למשל ב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סובח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פסקאות </w:t>
      </w:r>
      <w:r>
        <w:rPr>
          <w:rFonts w:eastAsia="David" w:cs="David" w:ascii="David" w:hAnsi="David"/>
          <w:b/>
          <w:bCs/>
        </w:rPr>
        <w:t>16</w:t>
      </w:r>
      <w:r>
        <w:rPr>
          <w:rFonts w:eastAsia="David" w:cs="David" w:ascii="David" w:hAnsi="David"/>
          <w:b/>
          <w:bCs/>
          <w:rtl w:val="true"/>
        </w:rPr>
        <w:t>–</w:t>
      </w:r>
      <w:r>
        <w:rPr>
          <w:rFonts w:eastAsia="David" w:cs="David" w:ascii="David" w:hAnsi="David"/>
          <w:b/>
          <w:bCs/>
        </w:rPr>
        <w:t>17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לחוות דעתי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eastAsia="David" w:cs="David" w:ascii="David" w:hAnsi="David"/>
          <w:b/>
          <w:bCs/>
        </w:rPr>
        <w:t>5.11.2019</w:t>
      </w:r>
      <w:r>
        <w:rPr>
          <w:rFonts w:eastAsia="David" w:cs="David" w:ascii="David" w:hAnsi="David"/>
          <w:b/>
          <w:bCs/>
          <w:rtl w:val="true"/>
        </w:rPr>
        <w:t xml:space="preserve">); 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7344/18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יד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(</w:t>
      </w:r>
      <w:r>
        <w:rPr>
          <w:rFonts w:eastAsia="David" w:cs="David" w:ascii="David" w:hAnsi="David"/>
          <w:b/>
          <w:bCs/>
        </w:rPr>
        <w:t>21.10.2018</w:t>
      </w:r>
      <w:r>
        <w:rPr>
          <w:rFonts w:eastAsia="David" w:cs="David" w:ascii="David" w:hAnsi="David"/>
          <w:b/>
          <w:bCs/>
          <w:rtl w:val="true"/>
        </w:rPr>
        <w:t>))."</w:t>
      </w: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העבירה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hyperlink r:id="rId23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כאמור הנאשם רכש והחזיק אקדח ומחסנית תואמת תמורת סכום </w:t>
      </w:r>
      <w:r>
        <w:rPr>
          <w:rFonts w:ascii="David" w:hAnsi="David" w:eastAsia="Calibri"/>
          <w:rtl w:val="true"/>
        </w:rPr>
        <w:t xml:space="preserve">כסף </w:t>
      </w:r>
      <w:r>
        <w:rPr>
          <w:rFonts w:ascii="David" w:hAnsi="David" w:eastAsia="Calibri"/>
          <w:rtl w:val="true"/>
        </w:rPr>
        <w:t>מסוים שאינו 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וכעבור מספר ימים החזירו למוכר בטענה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האקדח אינו תקין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והוחזר לנאשם חלק מסכום הרכישה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אינו מורשה כדין להחזיק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 כל הכשרה מותרת ויש בעצם החזקתו של הנשק </w:t>
      </w:r>
      <w:r>
        <w:rPr>
          <w:rFonts w:ascii="David" w:hAnsi="David"/>
          <w:rtl w:val="true"/>
        </w:rPr>
        <w:t>כדי להוות סכנה לציבור ללא קשר למטרות החזקתו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באירוע ספונטני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אם באירוע מתוכנן והנאשם היה מודע היטב לאיסור שבהחזקת ורכישת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וחלקו בביצוע העבירה הינו מרכזי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הנאשם היה יכול בנקל להימנע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עשה 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בנשק מסוג אקדח שעוצמתו רבה ופוטנציאל הנזק הנשקף ממנו רב 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לכך יש להוסיף את העובדה שהנאשם החזיק גם במחסנית תואמת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מטרת הרכישה וההחזקה לא הובררה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אולם הנאשם הסביר </w:t>
      </w:r>
      <w:r>
        <w:rPr>
          <w:rFonts w:ascii="David" w:hAnsi="David" w:eastAsia="Calibri"/>
          <w:rtl w:val="true"/>
        </w:rPr>
        <w:t xml:space="preserve"> כי החזיר את הנשק לאחר שחש </w:t>
      </w:r>
      <w:r>
        <w:rPr>
          <w:rFonts w:ascii="David" w:hAnsi="David" w:eastAsia="Calibri"/>
          <w:rtl w:val="true"/>
        </w:rPr>
        <w:t xml:space="preserve">חרטה </w:t>
      </w:r>
      <w:r>
        <w:rPr>
          <w:rFonts w:ascii="David" w:hAnsi="David" w:eastAsia="Calibri"/>
          <w:rtl w:val="true"/>
        </w:rPr>
        <w:t>בעקבות</w:t>
      </w:r>
      <w:r>
        <w:rPr>
          <w:rFonts w:ascii="David" w:hAnsi="David" w:eastAsia="Calibri"/>
          <w:rtl w:val="true"/>
        </w:rPr>
        <w:t xml:space="preserve">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מ</w:t>
      </w:r>
      <w:r>
        <w:rPr>
          <w:rFonts w:ascii="David" w:hAnsi="David" w:eastAsia="Calibri"/>
          <w:rtl w:val="true"/>
        </w:rPr>
        <w:t xml:space="preserve">פאת </w:t>
      </w:r>
      <w:r>
        <w:rPr>
          <w:rFonts w:ascii="David" w:hAnsi="David" w:eastAsia="Calibri"/>
          <w:rtl w:val="true"/>
        </w:rPr>
        <w:t>חשש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מהמוכר טען בפניו</w:t>
      </w:r>
      <w:r>
        <w:rPr>
          <w:rFonts w:ascii="David" w:hAnsi="David" w:eastAsia="Calibri"/>
          <w:rtl w:val="true"/>
        </w:rPr>
        <w:t xml:space="preserve"> בכזב </w:t>
      </w:r>
      <w:r>
        <w:rPr>
          <w:rFonts w:ascii="David" w:hAnsi="David" w:eastAsia="Calibri"/>
          <w:rtl w:val="true"/>
        </w:rPr>
        <w:t xml:space="preserve"> שהנשק</w:t>
      </w:r>
      <w:r>
        <w:rPr>
          <w:rFonts w:ascii="David" w:hAnsi="David" w:eastAsia="Calibri"/>
          <w:rtl w:val="true"/>
        </w:rPr>
        <w:t xml:space="preserve"> תקול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אין להניח לטובת הנאשם כי </w:t>
      </w:r>
      <w:r>
        <w:rPr>
          <w:rFonts w:ascii="David" w:hAnsi="David" w:eastAsia="Calibri"/>
          <w:rtl w:val="true"/>
        </w:rPr>
        <w:t xml:space="preserve">מטרת </w:t>
      </w:r>
      <w:r>
        <w:rPr>
          <w:rFonts w:ascii="David" w:hAnsi="David" w:eastAsia="Calibri"/>
          <w:rtl w:val="true"/>
        </w:rPr>
        <w:t xml:space="preserve">הרכישה או ההחזקה הייתה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תמימה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וסופו של דבר הנשק היה עלול לשמש לביצוע עבירות חמורות ולהביא לפגיעה בבני אדם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ג</w:t>
      </w:r>
      <w:r>
        <w:rPr>
          <w:rFonts w:ascii="David" w:hAnsi="David" w:eastAsia="Calibri"/>
          <w:rtl w:val="true"/>
        </w:rPr>
        <w:t xml:space="preserve">רסתו </w:t>
      </w:r>
      <w:r>
        <w:rPr>
          <w:rFonts w:ascii="David" w:hAnsi="David" w:eastAsia="Calibri"/>
          <w:rtl w:val="true"/>
        </w:rPr>
        <w:t xml:space="preserve"> של הנאשם לפיה </w:t>
      </w:r>
      <w:r>
        <w:rPr>
          <w:rFonts w:ascii="David" w:hAnsi="David" w:eastAsia="Calibri"/>
          <w:rtl w:val="true"/>
        </w:rPr>
        <w:t xml:space="preserve"> הנשק הוחזר למוכר בשל חרט</w:t>
      </w:r>
      <w:r>
        <w:rPr>
          <w:rFonts w:ascii="David" w:hAnsi="David" w:eastAsia="Calibri"/>
          <w:rtl w:val="true"/>
        </w:rPr>
        <w:t>ה לא נסתרה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ובהקשר זה אין להתעלם מהעובדה שהנאשם לא ביקש מהמוכר להחליפו בנשק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אף לא רכש נשק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בנוסף </w:t>
      </w:r>
      <w:r>
        <w:rPr>
          <w:rFonts w:ascii="David" w:hAnsi="David" w:eastAsia="Calibri"/>
          <w:rtl w:val="true"/>
        </w:rPr>
        <w:t xml:space="preserve"> יינתן משקל לעובדה ש</w:t>
      </w:r>
      <w:r>
        <w:rPr>
          <w:rFonts w:ascii="David" w:hAnsi="David" w:eastAsia="Calibri"/>
          <w:rtl w:val="true"/>
        </w:rPr>
        <w:t>ההחזקה</w:t>
      </w:r>
      <w:r>
        <w:rPr>
          <w:rFonts w:ascii="David" w:hAnsi="David" w:eastAsia="Calibri"/>
          <w:rtl w:val="true"/>
        </w:rPr>
        <w:t xml:space="preserve"> הייתה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לפרק זמן של ימים בודדים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הנשק הוחזק ללא</w:t>
      </w:r>
      <w:r>
        <w:rPr>
          <w:rFonts w:ascii="David" w:hAnsi="David" w:eastAsia="Calibri"/>
          <w:rtl w:val="true"/>
        </w:rPr>
        <w:t xml:space="preserve">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שלא ניתן היה לעשות בו שימוש באופן מידי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עם זאת הנשק לא הוסגר לידי המשטרה כך שפוטנציאל הנזק הטמון בשימוש בו נותר כפי שהיה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מצויה ברף הבינוני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pacing w:lineRule="atLeast" w:line="360" w:before="0" w:after="12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קדורה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 הורשע בעבירה של החזקת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באופן שעונשו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46460-02-22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צואלחה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בעבירת החזקת נשק ומחסנית ריקה שנתפסו בשטח פתוח במרחק של כמאה מטר מביתו כשהם עטופים בבד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ועונשים נלווים בהתחשב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בעברו הנקי ובתקופת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המדינה התקבל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עונשו הוחמר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48598-11-20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מצרי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בעבירות </w:t>
      </w:r>
      <w:r>
        <w:rPr>
          <w:rFonts w:ascii="David" w:hAnsi="David"/>
          <w:rtl w:val="true"/>
        </w:rPr>
        <w:t xml:space="preserve">של ניסיון להחזקת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ועבירה של הפרת הוראה חוקית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מתחם עונש הולם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הוטלו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והופעל עונש של מאסר מותנה בר הפעלה למשך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סך הכל הוטלו על הנאשם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2141/21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איתן חניני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שהצטייד באקדח אוויר שבוצעו בו שינויים שמאפשרים ירי של תחמושת בקליבר </w:t>
      </w:r>
      <w:r>
        <w:rPr>
          <w:rFonts w:eastAsia="Calibri" w:cs="David" w:ascii="David" w:hAnsi="David"/>
        </w:rPr>
        <w:t>7.65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ובכדורים תואמים –ללא רישיון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נתפס בחצר קרובה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את האקדח על גופו ובתוכו ארבעה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ב</w:t>
      </w:r>
      <w:hyperlink r:id="rId2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5646/15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תיהאווי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בעבירה של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ברכב בו שהה עם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טעון עם מחסנית ובה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שהוטמנו מתחת לשטיח הרכב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הרשעה קודמת אחת של הפרעה לשוטר בעת 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הגיש בעניינו תסקיר שלילי במהותו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bookmarkStart w:id="12" w:name="casename_body"/>
      <w:r>
        <w:rPr>
          <w:rFonts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ב</w:t>
      </w:r>
      <w:hyperlink r:id="rId29">
        <w:bookmarkEnd w:id="12"/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</w:rPr>
          <w:t>3636/23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מועתז אבו אלקעיאן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של החזקת נשק ותחמושת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</w:t>
      </w:r>
      <w:r>
        <w:rPr>
          <w:rFonts w:ascii="David" w:hAnsi="David"/>
          <w:shd w:fill="FFFFFF" w:val="clear"/>
          <w:rtl w:val="true"/>
        </w:rPr>
        <w:t xml:space="preserve">שהחזיק  בתא המטען של הרכב באקדח חצי אוטומטי מסוג </w:t>
      </w:r>
      <w:r>
        <w:rPr>
          <w:rFonts w:cs="David" w:ascii="David" w:hAnsi="David"/>
          <w:shd w:fill="FFFFFF" w:val="clear"/>
        </w:rPr>
        <w:t>CZ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וכן במחסנית לנשק וב</w:t>
      </w:r>
      <w:r>
        <w:rPr>
          <w:rFonts w:cs="David" w:ascii="David" w:hAnsi="David"/>
          <w:shd w:fill="FFFFFF" w:val="clear"/>
          <w:rtl w:val="true"/>
        </w:rPr>
        <w:t>-</w:t>
      </w:r>
      <w:r>
        <w:rPr>
          <w:rFonts w:cs="David" w:ascii="David" w:hAnsi="David"/>
          <w:shd w:fill="FFFFFF" w:val="clear"/>
        </w:rPr>
        <w:t>6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 xml:space="preserve">כדורים בקוטר </w:t>
      </w:r>
      <w:r>
        <w:rPr>
          <w:rFonts w:cs="David" w:ascii="David" w:hAnsi="David"/>
          <w:shd w:fill="FFFFFF" w:val="clear"/>
        </w:rPr>
        <w:t>9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</w:t>
      </w:r>
      <w:r>
        <w:rPr>
          <w:rFonts w:cs="David" w:ascii="David" w:hAnsi="David"/>
          <w:shd w:fill="FFFFFF" w:val="clear"/>
          <w:rtl w:val="true"/>
        </w:rPr>
        <w:t>"</w:t>
      </w:r>
      <w:r>
        <w:rPr>
          <w:rFonts w:ascii="David" w:hAnsi="David"/>
          <w:shd w:fill="FFFFFF" w:val="clear"/>
          <w:rtl w:val="true"/>
        </w:rPr>
        <w:t>מ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 xml:space="preserve">נקבע </w:t>
      </w:r>
      <w:r>
        <w:rPr>
          <w:rFonts w:ascii="David" w:hAnsi="David" w:eastAsia="Calibri"/>
          <w:rtl w:val="true"/>
        </w:rPr>
        <w:t xml:space="preserve">מתחם עונש הולם אשר נע בין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הוגש תסקיר שלילי בעניינו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נעדר עבר פלילי הוטלו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ובקשת רשות ערעור נדחו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אלהוזייל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בהחזקת אקדח ותחמושת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 על ענישה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11-33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ובקשת רשות ערעור נדחו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ביטון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הנאשם  הורשע בעבירות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לאחר שביקש לרכוש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תחמושת ולבנת 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מאדם אשר נעצר בדרכו ונשא עליו את כלי הנשק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אשר נע 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קולת העונש התקבל באופן שעונשו של הנאשם הועמד על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לאחר שנקבע כי גזר הדין שניתן עומד בסתירה למדיניות ההחמרה עם עברייני הנשק לסוגיהם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וכי רק בנסיבות חריגות ביותר יהא ניתן להסתפק בעונש של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52602-12-19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ריזק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בעבירות של החזקה ורכישת </w:t>
      </w:r>
      <w:r>
        <w:rPr>
          <w:rFonts w:ascii="David" w:hAnsi="David"/>
          <w:rtl w:val="true"/>
        </w:rPr>
        <w:t>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 מלאה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נתפסו תחת מזרן מיטתו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נעדר עבר פלילי הוטלו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קולת העונש התקבל ועונשו הועמד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הדגשה כי ערכאת הערעור אינה ממצה את הדין עם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2015/21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אזברגה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בהחזקת שני אקדחים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להסתפק בענישה שיקומית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שנע בין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בעל עבר פלילי שאינו מכביד הוטלו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 תוך שבית המשפט העליון מתייחס בהחלטתו לשיקולי השיקום אך נתן משקל בכורה למדיניות הענישה המחמירה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60"/>
        <w:ind w:start="720" w:end="0"/>
        <w:jc w:val="both"/>
        <w:rPr>
          <w:rFonts w:ascii="David" w:hAnsi="David" w:eastAsia="Calibri" w:cs="David"/>
        </w:rPr>
      </w:pPr>
      <w:r>
        <w:rPr>
          <w:rFonts w:eastAsia="Calibri" w:cs="Calibri" w:ascii="Calibri" w:hAnsi="Calibri"/>
          <w:b/>
          <w:bCs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העונש שנקבעו נעים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שהוטלו  היו בטווח שבין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הפנה למספר פסקי דין כאשר מתחמי הענישה נעים בין מספר חודשי מאסר בעבודות שירות 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והעונשים 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בעבודות שירות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העונש המרבי הקבוע בחוק ביחס לעבירה של החזקת </w:t>
      </w:r>
      <w:r>
        <w:rPr>
          <w:rFonts w:ascii="David" w:hAnsi="David" w:eastAsia="Calibri"/>
          <w:rtl w:val="true"/>
        </w:rPr>
        <w:t xml:space="preserve">או רכישת </w:t>
      </w:r>
      <w:r>
        <w:rPr>
          <w:rFonts w:ascii="David" w:hAnsi="David" w:eastAsia="Calibri"/>
          <w:rtl w:val="true"/>
        </w:rPr>
        <w:t xml:space="preserve">נשק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Calibri"/>
          <w:color w:val="000000"/>
          <w:rtl w:val="true"/>
        </w:rPr>
        <w:t xml:space="preserve">יוער כי לקחתי גם בחשבון גם את גזר דינו של הנאשם </w:t>
      </w:r>
      <w:r>
        <w:rPr>
          <w:rFonts w:eastAsia="Calibri" w:cs="David" w:ascii="David" w:hAnsi="David"/>
          <w:color w:val="000000"/>
        </w:rPr>
        <w:t>4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אשר הורשע בעבירות של רכישה והחזקת שני אקדחים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 xml:space="preserve">שם נקבע מתחם עונש </w:t>
      </w:r>
      <w:r>
        <w:rPr>
          <w:rFonts w:ascii="David" w:hAnsi="David" w:eastAsia="Calibri"/>
          <w:color w:val="000000"/>
          <w:rtl w:val="true"/>
        </w:rPr>
        <w:t>ש</w:t>
      </w:r>
      <w:r>
        <w:rPr>
          <w:rFonts w:ascii="David" w:hAnsi="David" w:eastAsia="Calibri"/>
          <w:color w:val="000000"/>
          <w:rtl w:val="true"/>
        </w:rPr>
        <w:t xml:space="preserve">בין </w:t>
      </w:r>
      <w:r>
        <w:rPr>
          <w:rFonts w:eastAsia="Calibri" w:cs="David" w:ascii="David" w:hAnsi="David"/>
          <w:color w:val="000000"/>
        </w:rPr>
        <w:t>16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28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והנאשם נדון 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20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כידוע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עקרון אחידות הענישה הוא עקרון יסוד בשיטתנו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ואחת מנגזרותיו היא החובה להבטיח יחס הולם בין עונשיהם של המעורבים השונים באותה פרשה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כך שמדרג הענישה ישקף את חלקם היחסי של כל אחד מהמעורבים בה </w:t>
      </w:r>
      <w:r>
        <w:rPr>
          <w:rFonts w:cs="David" w:ascii="David" w:hAnsi="David"/>
          <w:b/>
          <w:bCs/>
          <w:spacing w:val="10"/>
          <w:rtl w:val="true"/>
        </w:rPr>
        <w:t>(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8172/21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אזי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</w:rPr>
        <w:t>18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cs="David" w:ascii="David" w:hAnsi="David"/>
          <w:b/>
          <w:bCs/>
          <w:spacing w:val="10"/>
        </w:rPr>
        <w:t>15.5.2022</w:t>
      </w:r>
      <w:r>
        <w:rPr>
          <w:rFonts w:cs="David" w:ascii="David" w:hAnsi="David"/>
          <w:b/>
          <w:bCs/>
          <w:spacing w:val="10"/>
          <w:rtl w:val="true"/>
        </w:rPr>
        <w:t xml:space="preserve">); 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4536/21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פרץ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</w:rPr>
        <w:t>15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cs="David" w:ascii="David" w:hAnsi="David"/>
          <w:b/>
          <w:bCs/>
          <w:spacing w:val="10"/>
        </w:rPr>
        <w:t>4.11.2021</w:t>
      </w:r>
      <w:r>
        <w:rPr>
          <w:rFonts w:cs="David" w:ascii="David" w:hAnsi="David"/>
          <w:b/>
          <w:bCs/>
          <w:spacing w:val="10"/>
          <w:rtl w:val="true"/>
        </w:rPr>
        <w:t xml:space="preserve">)). </w:t>
      </w:r>
      <w:r>
        <w:rPr>
          <w:rFonts w:ascii="David" w:hAnsi="David"/>
          <w:b/>
          <w:b/>
          <w:bCs/>
          <w:spacing w:val="10"/>
          <w:rtl w:val="true"/>
        </w:rPr>
        <w:t>יישומה של חובה זו משתנה מטבעם של דברים ממקרה למקרה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ועל בית המשפט לשקול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בין היתר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את חומרת המעשים שביצע כל אחד מן הנאשמים ביחס לאחרים בשים לב לנסיבותיו האישיות של כל נאשם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ascii="David" w:hAnsi="David"/>
          <w:b/>
          <w:b/>
          <w:bCs/>
          <w:spacing w:val="10"/>
          <w:rtl w:val="true"/>
        </w:rPr>
        <w:t>עניין עשור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</w:rPr>
        <w:t>20</w:t>
      </w:r>
      <w:r>
        <w:rPr>
          <w:rFonts w:cs="David" w:ascii="David" w:hAnsi="David"/>
          <w:b/>
          <w:bCs/>
          <w:spacing w:val="10"/>
          <w:rtl w:val="true"/>
        </w:rPr>
        <w:t>)." (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4762/22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כנפו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</w:rPr>
        <w:t>22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cs="David" w:ascii="David" w:hAnsi="David"/>
          <w:b/>
          <w:bCs/>
          <w:spacing w:val="10"/>
        </w:rPr>
        <w:t>15.08.2023</w:t>
      </w:r>
      <w:r>
        <w:rPr>
          <w:rFonts w:cs="David" w:ascii="David" w:hAnsi="David"/>
          <w:b/>
          <w:bCs/>
          <w:spacing w:val="10"/>
          <w:rtl w:val="true"/>
        </w:rPr>
        <w:t>)).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eastAsia="David"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נוכח העובדה שגזר הדין בעניינו של הנאשם </w:t>
      </w:r>
      <w:r>
        <w:rPr>
          <w:rFonts w:eastAsia="David" w:cs="David" w:ascii="David" w:hAnsi="David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הפך לחלוט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והעובדה שנסיבות ביצוע העבירות שם חמורות יותר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קנה והחזיק שני אקדחים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הרי שמתחם העונש ההולם ביחס לנאשם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צריך להיות שונה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לאחר ששקלתי 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ביצועּן כמפורט לעיל הערכים החברתיים עליהם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צריך לכלול רכיב של מאסר בפועל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לקולה אני מביא בחשבון את הודאתו של הנאשם בכתב האישום המתוקן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החיסכון בזמן 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העדר עבר פלילי </w:t>
      </w:r>
      <w:r>
        <w:rPr>
          <w:rFonts w:ascii="David" w:hAnsi="David" w:eastAsia="Calibri"/>
          <w:rtl w:val="true"/>
        </w:rPr>
        <w:t xml:space="preserve">כאשר </w:t>
      </w:r>
      <w:r>
        <w:rPr>
          <w:rFonts w:ascii="David" w:hAnsi="David" w:eastAsia="Calibri"/>
          <w:rtl w:val="true"/>
        </w:rPr>
        <w:t>למעשה מדובר בהסתבכותו הראשונה בפלילים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נסיבותיו האישיות של הנאשם כמפורט בטיעוניו לעונש ובתסקיר שרות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תקופת המעצר בה הנאשם היה נתון עד היום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כידוע תנאי מעצר קשים מתנאי מאסר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תקופת המעצר באיזוק אלקטרוני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התנאים המגבילים בהן </w:t>
      </w:r>
      <w:r>
        <w:rPr>
          <w:rFonts w:ascii="David" w:hAnsi="David" w:eastAsia="Calibri"/>
          <w:rtl w:val="true"/>
        </w:rPr>
        <w:t>הנאשם היה נתון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והשלכות המאסר על הנאשם ועל משפחתו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מנגד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אין להתעלם מהתרשמות </w:t>
      </w:r>
      <w:r>
        <w:rPr>
          <w:rFonts w:ascii="David" w:hAnsi="David" w:eastAsia="Calibri"/>
          <w:rtl w:val="true"/>
        </w:rPr>
        <w:t>שירות המבחן מסיכון להישנות ביצוע עבירות דומות בע</w:t>
      </w:r>
      <w:r>
        <w:rPr>
          <w:rFonts w:ascii="David" w:hAnsi="David" w:eastAsia="Calibri"/>
          <w:rtl w:val="true"/>
        </w:rPr>
        <w:t>תיד בהיעדר חלופה שיקומית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"/>
          <w:szCs w:val="2"/>
          <w:u w:val="single"/>
        </w:rPr>
      </w:pPr>
      <w:r>
        <w:rPr>
          <w:rFonts w:eastAsia="David" w:cs="David" w:ascii="David" w:hAnsi="David"/>
          <w:sz w:val="2"/>
          <w:szCs w:val="2"/>
          <w:u w:val="single"/>
          <w:rtl w:val="true"/>
        </w:rPr>
      </w:r>
    </w:p>
    <w:p>
      <w:pPr>
        <w:pStyle w:val="ListParagraph"/>
        <w:ind w:end="0"/>
        <w:jc w:val="start"/>
        <w:rPr>
          <w:rFonts w:ascii="David" w:hAnsi="David" w:eastAsia="Calibri" w:cs="David"/>
          <w:sz w:val="6"/>
          <w:szCs w:val="6"/>
          <w:u w:val="single"/>
        </w:rPr>
      </w:pPr>
      <w:r>
        <w:rPr>
          <w:rFonts w:eastAsia="Calibri" w:cs="David" w:ascii="David" w:hAnsi="David"/>
          <w:sz w:val="6"/>
          <w:szCs w:val="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ובהתחשב בנסיבות לקולה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שנכון לגזור על הנאשם עונש מאסר בפועל</w:t>
      </w:r>
      <w:r>
        <w:rPr>
          <w:rFonts w:ascii="David" w:hAnsi="David"/>
          <w:rtl w:val="true"/>
        </w:rPr>
        <w:t xml:space="preserve"> ברף התחתון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אני ער להמלצת שרות המבחן לפיה יוטל עונש מאסר בעבודות שרות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בית המשפט אינו כפוף להמלצת שרות המבחן אשר במקרה זה אינה מתיישבת עם חומרת העבירה והאינטרס הציבורי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0"/>
          <w:szCs w:val="10"/>
          <w:u w:val="single"/>
        </w:rPr>
      </w:pPr>
      <w:r>
        <w:rPr>
          <w:rFonts w:eastAsia="Calibri" w:cs="David" w:ascii="David" w:hAnsi="David"/>
          <w:sz w:val="10"/>
          <w:szCs w:val="10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מאסר בפועל לתקופה של </w:t>
      </w:r>
      <w:r>
        <w:rPr>
          <w:rFonts w:eastAsia="Calibri" w:cs="David" w:ascii="David" w:hAnsi="David"/>
          <w:b/>
          <w:bCs/>
        </w:rPr>
        <w:t>15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מתאריך </w:t>
      </w:r>
      <w:r>
        <w:rPr>
          <w:rFonts w:eastAsia="Calibri" w:cs="David" w:ascii="David" w:hAnsi="David"/>
          <w:b/>
          <w:bCs/>
        </w:rPr>
        <w:t>19/03/23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ועד ליום </w:t>
      </w:r>
      <w:r>
        <w:rPr>
          <w:rFonts w:eastAsia="Calibri" w:cs="David" w:ascii="David" w:hAnsi="David"/>
          <w:b/>
          <w:bCs/>
        </w:rPr>
        <w:t>8/6/23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 והתנאי הוא</w:t>
      </w:r>
      <w:r>
        <w:rPr>
          <w:rFonts w:ascii="David" w:hAnsi="David" w:eastAsia="Calibri"/>
          <w:b/>
          <w:b/>
          <w:bCs/>
          <w:rtl w:val="true"/>
        </w:rPr>
        <w:t xml:space="preserve">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 והתנאי הוא</w:t>
      </w:r>
      <w:r>
        <w:rPr>
          <w:rFonts w:ascii="David" w:hAnsi="David" w:eastAsia="Calibri"/>
          <w:b/>
          <w:b/>
          <w:bCs/>
          <w:rtl w:val="true"/>
        </w:rPr>
        <w:t xml:space="preserve">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 עוון 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קנס בסך </w:t>
      </w:r>
      <w:r>
        <w:rPr>
          <w:rFonts w:eastAsia="Calibri" w:cs="David" w:ascii="David" w:hAnsi="David"/>
          <w:b/>
          <w:bCs/>
        </w:rPr>
        <w:t>10,000</w:t>
      </w:r>
      <w:r>
        <w:rPr>
          <w:rFonts w:eastAsia="Calibri" w:cs="David" w:ascii="David" w:hAnsi="David"/>
          <w:b/>
          <w:bCs/>
          <w:rtl w:val="true"/>
        </w:rPr>
        <w:t xml:space="preserve"> ₪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100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>הקנס שהוטל על הנאשם</w:t>
      </w:r>
      <w:r>
        <w:rPr>
          <w:rFonts w:ascii="David" w:hAnsi="David" w:eastAsia="Calibri"/>
          <w:b/>
          <w:b/>
          <w:bCs/>
          <w:rtl w:val="true"/>
        </w:rPr>
        <w:t xml:space="preserve">  ישולם עד ליום </w:t>
      </w:r>
      <w:r>
        <w:rPr>
          <w:rFonts w:eastAsia="Calibri" w:cs="David" w:ascii="David" w:hAnsi="David"/>
          <w:b/>
          <w:bCs/>
        </w:rPr>
        <w:t>10/06/2024</w:t>
      </w:r>
      <w:r>
        <w:rPr>
          <w:rFonts w:eastAsia="Calibri" w:cs="David" w:ascii="David" w:hAnsi="David"/>
          <w:b/>
          <w:bCs/>
          <w:rtl w:val="true"/>
        </w:rPr>
        <w:t xml:space="preserve"> 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תשומת לב הנאשם שיש לשלם את הקנס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37">
        <w:r>
          <w:rPr>
            <w:rStyle w:val="Hyperlink"/>
            <w:rFonts w:eastAsia="Calibri" w:cs="David" w:ascii="David" w:hAnsi="David"/>
            <w:color w:val="0563C1"/>
            <w:u w:val="single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252" w:before="0" w:after="160"/>
        <w:ind w:end="0"/>
        <w:jc w:val="both"/>
        <w:rPr/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</w:rPr>
      </w:pPr>
      <w:r>
        <w:rPr>
          <w:rFonts w:eastAsia="Calibri"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3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811-04-23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מגיס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fCa1S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fCa1S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7894608" TargetMode="External"/><Relationship Id="rId13" Type="http://schemas.openxmlformats.org/officeDocument/2006/relationships/hyperlink" Target="http://www.nevo.co.il/case/28152132" TargetMode="External"/><Relationship Id="rId14" Type="http://schemas.openxmlformats.org/officeDocument/2006/relationships/hyperlink" Target="http://www.nevo.co.il/case/27115374" TargetMode="External"/><Relationship Id="rId15" Type="http://schemas.openxmlformats.org/officeDocument/2006/relationships/hyperlink" Target="http://www.nevo.co.il/case/27907602" TargetMode="External"/><Relationship Id="rId16" Type="http://schemas.openxmlformats.org/officeDocument/2006/relationships/hyperlink" Target="http://www.nevo.co.il/case/2720740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601503" TargetMode="External"/><Relationship Id="rId19" Type="http://schemas.openxmlformats.org/officeDocument/2006/relationships/hyperlink" Target="http://www.nevo.co.il/case/6034921" TargetMode="External"/><Relationship Id="rId20" Type="http://schemas.openxmlformats.org/officeDocument/2006/relationships/hyperlink" Target="http://www.nevo.co.il/case/26913995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case/25063920" TargetMode="External"/><Relationship Id="rId23" Type="http://schemas.openxmlformats.org/officeDocument/2006/relationships/hyperlink" Target="http://www.nevo.co.il/case/5762686" TargetMode="External"/><Relationship Id="rId24" Type="http://schemas.openxmlformats.org/officeDocument/2006/relationships/hyperlink" Target="http://www.nevo.co.il/case/28513828" TargetMode="External"/><Relationship Id="rId25" Type="http://schemas.openxmlformats.org/officeDocument/2006/relationships/hyperlink" Target="http://www.nevo.co.il/case/28331430" TargetMode="External"/><Relationship Id="rId26" Type="http://schemas.openxmlformats.org/officeDocument/2006/relationships/hyperlink" Target="http://www.nevo.co.il/case/27172412" TargetMode="External"/><Relationship Id="rId27" Type="http://schemas.openxmlformats.org/officeDocument/2006/relationships/hyperlink" Target="http://www.nevo.co.il/case/27502726" TargetMode="External"/><Relationship Id="rId28" Type="http://schemas.openxmlformats.org/officeDocument/2006/relationships/hyperlink" Target="http://www.nevo.co.il/case/20531134" TargetMode="External"/><Relationship Id="rId29" Type="http://schemas.openxmlformats.org/officeDocument/2006/relationships/hyperlink" Target="http://www.nevo.co.il/case/29655260" TargetMode="External"/><Relationship Id="rId30" Type="http://schemas.openxmlformats.org/officeDocument/2006/relationships/hyperlink" Target="http://www.nevo.co.il/case/26913995" TargetMode="External"/><Relationship Id="rId31" Type="http://schemas.openxmlformats.org/officeDocument/2006/relationships/hyperlink" Target="http://www.nevo.co.il/case/27309272" TargetMode="External"/><Relationship Id="rId32" Type="http://schemas.openxmlformats.org/officeDocument/2006/relationships/hyperlink" Target="http://www.nevo.co.il/case/26294158" TargetMode="External"/><Relationship Id="rId33" Type="http://schemas.openxmlformats.org/officeDocument/2006/relationships/hyperlink" Target="http://www.nevo.co.il/case/27491153" TargetMode="External"/><Relationship Id="rId34" Type="http://schemas.openxmlformats.org/officeDocument/2006/relationships/hyperlink" Target="http://www.nevo.co.il/case/28142541" TargetMode="External"/><Relationship Id="rId35" Type="http://schemas.openxmlformats.org/officeDocument/2006/relationships/hyperlink" Target="http://www.nevo.co.il/case/27742715" TargetMode="External"/><Relationship Id="rId36" Type="http://schemas.openxmlformats.org/officeDocument/2006/relationships/hyperlink" Target="http://www.nevo.co.il/case/28774350" TargetMode="External"/><Relationship Id="rId37" Type="http://schemas.openxmlformats.org/officeDocument/2006/relationships/hyperlink" Target="http://www.eca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2024-08-26T14:37:00Z</dcterms:created>
  <dc:creator> </dc:creator>
  <dc:description/>
  <cp:keywords/>
  <dc:language>en-IL</dc:language>
  <cp:lastModifiedBy>h1</cp:lastModifiedBy>
  <dcterms:modified xsi:type="dcterms:W3CDTF">2024-08-26T14:37:00Z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אמג'ד מגיס;איאד מרזוק;סאמי טנוס;רביע מגיס; רסאם מגיס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27894608;28152132;27115374;27907602;27207408;5601503;6034921;26913995:2;25824863;25063920;5762686;28513828;28331430;27172412;27502726;20531134;29655260;27309272;26294158;27491153;28142541;27742715;28774350</vt:lpwstr>
  </property>
  <property fmtid="{D5CDD505-2E9C-101B-9397-08002B2CF9AE}" pid="9" name="CITY">
    <vt:lpwstr>חי'</vt:lpwstr>
  </property>
  <property fmtid="{D5CDD505-2E9C-101B-9397-08002B2CF9AE}" pid="10" name="DATE">
    <vt:lpwstr>20231219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70301/144.a;fCa1S;040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811</vt:lpwstr>
  </property>
  <property fmtid="{D5CDD505-2E9C-101B-9397-08002B2CF9AE}" pid="22" name="NEWPARTB">
    <vt:lpwstr>04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390020231219</vt:lpwstr>
  </property>
  <property fmtid="{D5CDD505-2E9C-101B-9397-08002B2CF9AE}" pid="34" name="TYPE_N_DATE">
    <vt:lpwstr>39020231219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