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1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0"/>
        <w:gridCol w:w="2151"/>
        <w:gridCol w:w="239"/>
        <w:gridCol w:w="233"/>
        <w:gridCol w:w="6"/>
        <w:gridCol w:w="1331"/>
        <w:gridCol w:w="10"/>
        <w:gridCol w:w="2870"/>
        <w:gridCol w:w="79"/>
      </w:tblGrid>
      <w:tr>
        <w:trPr>
          <w:trHeight w:val="539" w:hRule="exact"/>
        </w:trPr>
        <w:tc>
          <w:tcPr>
            <w:tcW w:w="4423" w:type="dxa"/>
            <w:gridSpan w:val="4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  <w:tc>
          <w:tcPr>
            <w:tcW w:w="4296" w:type="dxa"/>
            <w:gridSpan w:val="5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95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8184-09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 מחוז דרום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 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 נבארי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snapToGrid w:val="false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90" w:type="dxa"/>
            <w:gridSpan w:val="4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9" w:type="dxa"/>
            <w:gridSpan w:val="9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 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 מרדכי לוי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840" w:type="dxa"/>
            <w:gridSpan w:val="7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40" w:type="dxa"/>
            <w:gridSpan w:val="7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970" w:type="dxa"/>
            <w:gridSpan w:val="6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7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640" w:type="dxa"/>
            <w:gridSpan w:val="8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 ג ד</w:t>
            </w:r>
          </w:p>
        </w:tc>
        <w:tc>
          <w:tcPr>
            <w:tcW w:w="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960" w:type="dxa"/>
            <w:gridSpan w:val="5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אברהים אל נבארי</w:t>
            </w:r>
          </w:p>
        </w:tc>
        <w:tc>
          <w:tcPr>
            <w:tcW w:w="288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</w:t>
      </w:r>
      <w:r>
        <w:rPr>
          <w:u w:val="none"/>
          <w:rtl w:val="true"/>
        </w:rPr>
        <w:t xml:space="preserve">מאשימה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ירון סעדון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</w:t>
      </w:r>
      <w:r>
        <w:rPr>
          <w:u w:val="none"/>
          <w:rtl w:val="true"/>
        </w:rPr>
        <w:t>ויקטור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אוזן</w:t>
      </w:r>
      <w:r>
        <w:rPr>
          <w:u w:val="none"/>
          <w:rtl w:val="true"/>
        </w:rPr>
        <w:t xml:space="preserve">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5" w:name="PsakDin"/>
      <w:bookmarkStart w:id="6" w:name="ABSTRACT_START"/>
      <w:bookmarkEnd w:id="5"/>
      <w:bookmarkEnd w:id="6"/>
      <w:r>
        <w:rPr>
          <w:rtl w:val="true"/>
        </w:rPr>
        <w:t xml:space="preserve">הנאשם הורשע על פי הודאתו בעבירות נשק </w:t>
      </w:r>
      <w:r>
        <w:rPr>
          <w:rtl w:val="true"/>
        </w:rPr>
        <w:t>(</w:t>
      </w:r>
      <w:r>
        <w:rPr>
          <w:rtl w:val="true"/>
        </w:rPr>
        <w:t>נשיאת נשק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נשק </w:t>
      </w:r>
      <w:r>
        <w:rPr>
          <w:rtl w:val="true"/>
        </w:rPr>
        <w:t>(</w:t>
      </w:r>
      <w:r>
        <w:rPr>
          <w:rtl w:val="true"/>
        </w:rPr>
        <w:t>החזקת תחמושת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סיפא לחוק האמור ובעבירה של קבלת נכס שהושג בפשע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414</w:t>
      </w:r>
      <w:r>
        <w:rPr>
          <w:rtl w:val="true"/>
        </w:rPr>
        <w:t xml:space="preserve"> </w:t>
      </w:r>
      <w:r>
        <w:rPr>
          <w:rtl w:val="true"/>
        </w:rPr>
        <w:t>לחוק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bookmarkStart w:id="7" w:name="ABSTRACT_END"/>
      <w:bookmarkEnd w:id="7"/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 הסדר טיעון שהוצג בין הצדדים לאחר תחילת שמיעת הראיות</w:t>
      </w:r>
      <w:r>
        <w:rPr>
          <w:rtl w:val="true"/>
        </w:rPr>
        <w:t xml:space="preserve">, </w:t>
      </w:r>
      <w:r>
        <w:rPr>
          <w:rtl w:val="true"/>
        </w:rPr>
        <w:t>אשר התייחס לעתירה מוסכמת 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 הטיעון הינו סביר בנסיבות העניין ועל כן החלטתי 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מטיל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שנת 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מיום </w:t>
      </w:r>
      <w:r>
        <w:rPr/>
        <w:t>26.7.09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24.8.09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והתנאי הוא שלא יעבור עבירת נשק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והתנאי הוא שלא יעבור עבירה של קבלת נכס שהושג בפשע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קנס כספי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שישולם בשני תשלומים שווים</w:t>
      </w:r>
      <w:r>
        <w:rPr>
          <w:rtl w:val="true"/>
        </w:rPr>
        <w:t xml:space="preserve">, </w:t>
      </w:r>
      <w:r>
        <w:rPr>
          <w:rtl w:val="true"/>
        </w:rPr>
        <w:t xml:space="preserve">האחד ביום </w:t>
      </w:r>
      <w:r>
        <w:rPr/>
        <w:t>1.4.11</w:t>
      </w:r>
      <w:r>
        <w:rPr>
          <w:rtl w:val="true"/>
        </w:rPr>
        <w:t xml:space="preserve"> </w:t>
      </w:r>
      <w:r>
        <w:rPr>
          <w:rtl w:val="true"/>
        </w:rPr>
        <w:t xml:space="preserve">והשני ביום </w:t>
      </w:r>
      <w:r>
        <w:rPr/>
        <w:t>1.5.11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בפועל אם לא ישולם כל תשלום של הקנס במועדו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יתייצב לתחילת ריצוי המאסר בפועל ביום </w:t>
      </w:r>
      <w:r>
        <w:rPr/>
        <w:t>1.3.11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בכלא דקל 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הערבויות הכספיות שניתנו לשם שחרור הנאשם ממעצר</w:t>
      </w:r>
      <w:r>
        <w:rPr>
          <w:rtl w:val="true"/>
        </w:rPr>
        <w:t xml:space="preserve">, </w:t>
      </w:r>
      <w:r>
        <w:rPr>
          <w:rtl w:val="true"/>
        </w:rPr>
        <w:t>יעמדו בתוקף עד להתייצבותו לריצוי 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8184-09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אברהים אל נבארי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2011-05-08T06:28:00Z</dcterms:created>
  <dc:creator> </dc:creator>
  <dc:description/>
  <cp:keywords/>
  <dc:language>en-IL</dc:language>
  <cp:lastModifiedBy>eli</cp:lastModifiedBy>
  <dcterms:modified xsi:type="dcterms:W3CDTF">2011-05-08T06:28:00Z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אברהים אל נבארי</vt:lpwstr>
  </property>
  <property fmtid="{D5CDD505-2E9C-101B-9397-08002B2CF9AE}" pid="4" name="CITY">
    <vt:lpwstr>ב"ש</vt:lpwstr>
  </property>
  <property fmtid="{D5CDD505-2E9C-101B-9397-08002B2CF9AE}" pid="5" name="DATE">
    <vt:lpwstr>20110203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מרדכי לוי</vt:lpwstr>
  </property>
  <property fmtid="{D5CDD505-2E9C-101B-9397-08002B2CF9AE}" pid="9" name="LAWYER">
    <vt:lpwstr>ירון סעדון;ו ויקטור אוזן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8184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8184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me 09 8184 540 htm</vt:lpwstr>
  </property>
  <property fmtid="{D5CDD505-2E9C-101B-9397-08002B2CF9AE}" pid="34" name="TYPE">
    <vt:lpwstr>2</vt:lpwstr>
  </property>
  <property fmtid="{D5CDD505-2E9C-101B-9397-08002B2CF9AE}" pid="35" name="TYPE_ABS_DATE">
    <vt:lpwstr>390020110203</vt:lpwstr>
  </property>
  <property fmtid="{D5CDD505-2E9C-101B-9397-08002B2CF9AE}" pid="36" name="TYPE_N_DATE">
    <vt:lpwstr>39020110203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