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  <w:drawing>
          <wp:inline distT="0" distB="0" distL="0" distR="0">
            <wp:extent cx="513715" cy="571500"/>
            <wp:effectExtent l="0" t="0" r="0" b="0"/>
            <wp:docPr id="1" name="Menora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ora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8185-09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דרום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טהה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21507/09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436"/>
        <w:gridCol w:w="628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אליהו ביתן</w:t>
            </w:r>
          </w:p>
        </w:tc>
      </w:tr>
      <w:tr>
        <w:trPr/>
        <w:tc>
          <w:tcPr>
            <w:tcW w:w="25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</w:tc>
      </w:tr>
      <w:tr>
        <w:trPr/>
        <w:tc>
          <w:tcPr>
            <w:tcW w:w="252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ראד אבו טהה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  <w:t>&lt;</w:t>
      </w:r>
      <w:r>
        <w:rPr>
          <w:b w:val="false"/>
          <w:bCs w:val="false"/>
          <w:sz w:val="6"/>
          <w:szCs w:val="6"/>
          <w:u w:val="none"/>
        </w:rPr>
        <w:t>#3#</w:t>
      </w:r>
      <w:r>
        <w:rPr>
          <w:b w:val="false"/>
          <w:bCs w:val="false"/>
          <w:sz w:val="6"/>
          <w:szCs w:val="6"/>
          <w:u w:val="none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Heading1"/>
        <w:ind w:hanging="0" w:start="0" w:end="0"/>
        <w:jc w:val="center"/>
        <w:rPr>
          <w:kern w:val="0"/>
          <w:sz w:val="28"/>
          <w:szCs w:val="28"/>
          <w:u w:val="single"/>
        </w:rPr>
      </w:pPr>
      <w:bookmarkStart w:id="3" w:name="LastJudge"/>
      <w:bookmarkStart w:id="4" w:name="PsakDin"/>
      <w:bookmarkEnd w:id="3"/>
      <w:bookmarkEnd w:id="4"/>
      <w:r>
        <w:rPr>
          <w:kern w:val="0"/>
          <w:sz w:val="28"/>
          <w:sz w:val="28"/>
          <w:szCs w:val="28"/>
          <w:u w:val="single"/>
          <w:rtl w:val="true"/>
        </w:rPr>
        <w:t>גזר דין</w:t>
      </w:r>
    </w:p>
    <w:p>
      <w:pPr>
        <w:pStyle w:val="Heading1"/>
        <w:ind w:hanging="0" w:start="0" w:end="0"/>
        <w:jc w:val="start"/>
        <w:rPr>
          <w:sz w:val="24"/>
          <w:szCs w:val="24"/>
        </w:rPr>
      </w:pPr>
      <w:bookmarkStart w:id="5" w:name="PsakDin"/>
      <w:bookmarkEnd w:id="5"/>
      <w:r>
        <w:rPr>
          <w:sz w:val="24"/>
          <w:sz w:val="24"/>
          <w:szCs w:val="24"/>
          <w:rtl w:val="true"/>
        </w:rPr>
        <w:t xml:space="preserve">כללי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b/>
        </w:rPr>
        <w:t>1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לאחר שמיעת כל ראיות התביעה ועדות הנאשם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הגיעו הצדדים להסדר טיעון במסגרתו הוכנסו שינויים מסוימים בעובדות ובסעיפי האישום שבכתב האישום המקורי והנאשם הודה בעובדות שיוחסו לו בכתב האישום המתוקן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</w:rPr>
      </w:pPr>
      <w:r>
        <w:rPr>
          <w:b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</w:rPr>
      </w:pPr>
      <w:r>
        <w:rPr>
          <w:b/>
        </w:rPr>
        <w:t>2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אלה עיקרי העובדות בהן הודה הנאשם</w:t>
      </w:r>
      <w:r>
        <w:rPr>
          <w:b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start"/>
        <w:rPr>
          <w:b/>
        </w:rPr>
      </w:pPr>
      <w:r>
        <w:rPr>
          <w:b/>
          <w:b/>
          <w:rtl w:val="true"/>
        </w:rPr>
        <w:t xml:space="preserve">בתאריך </w:t>
      </w:r>
      <w:r>
        <w:rPr>
          <w:b/>
        </w:rPr>
        <w:t>24.07.09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 xml:space="preserve">בסמוך לשעה </w:t>
      </w:r>
      <w:r>
        <w:rPr>
          <w:b/>
        </w:rPr>
        <w:t>22:00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הגיע הנאשם עם אחר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ברכב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לביתו של עבדל כרים חמדיה </w:t>
      </w:r>
      <w:r>
        <w:rPr>
          <w:b/>
          <w:rtl w:val="true"/>
        </w:rPr>
        <w:t>(</w:t>
      </w:r>
      <w:r>
        <w:rPr>
          <w:b/>
          <w:b/>
          <w:rtl w:val="true"/>
        </w:rPr>
        <w:t>להלן</w:t>
      </w:r>
      <w:r>
        <w:rPr>
          <w:b/>
          <w:rtl w:val="true"/>
        </w:rPr>
        <w:t>:"</w:t>
      </w:r>
      <w:r>
        <w:rPr>
          <w:b/>
          <w:b/>
          <w:rtl w:val="true"/>
        </w:rPr>
        <w:t>המתלונן</w:t>
      </w:r>
      <w:r>
        <w:rPr>
          <w:b/>
          <w:rtl w:val="true"/>
        </w:rPr>
        <w:t xml:space="preserve">") </w:t>
      </w:r>
      <w:r>
        <w:rPr>
          <w:b/>
          <w:b/>
          <w:rtl w:val="true"/>
        </w:rPr>
        <w:t>בתל שבע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הנאשם ירה מתוך הרכב בנשק שהחזיק שלא כדין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כחמש יריות לעבר המתלונן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שעמד סמוך לשער הכניסה לביתו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המתלונן נפגע מהירי ברגלו הימנית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הובהל לבית החולים והפצע שנגרם לו נתפר ונחבש</w:t>
      </w:r>
      <w:r>
        <w:rPr>
          <w:b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b/>
        </w:rPr>
      </w:pPr>
      <w:r>
        <w:rPr>
          <w:b/>
          <w:b/>
          <w:rtl w:val="true"/>
        </w:rPr>
        <w:t>הנאשם ביצע את המעשה המתואר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בזמן שהיה עליו להימצא במעצר בית בישוב שגב שלום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b/>
        </w:rPr>
      </w:pPr>
      <w:r>
        <w:rPr>
          <w:b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>
          <w:b/>
        </w:rPr>
      </w:pPr>
      <w:r>
        <w:rPr>
          <w:b/>
        </w:rPr>
        <w:t>3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על יסוד הודאת הנאשם בעובדות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כאמור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הוא הורשע בעבירות של החזקת נשק שלא כדין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לפי סעיף </w:t>
      </w:r>
      <w:r>
        <w:rPr>
          <w:b/>
        </w:rPr>
        <w:t>144</w:t>
      </w:r>
      <w:r>
        <w:rPr>
          <w:b/>
          <w:rtl w:val="true"/>
        </w:rPr>
        <w:t>(</w:t>
      </w:r>
      <w:r>
        <w:rPr>
          <w:b/>
          <w:b/>
          <w:rtl w:val="true"/>
        </w:rPr>
        <w:t>א</w:t>
      </w:r>
      <w:r>
        <w:rPr>
          <w:b/>
          <w:rtl w:val="true"/>
        </w:rPr>
        <w:t xml:space="preserve">) </w:t>
      </w:r>
      <w:r>
        <w:rPr>
          <w:b/>
          <w:b/>
          <w:rtl w:val="true"/>
        </w:rPr>
        <w:t>רישא ל</w:t>
      </w:r>
      <w:hyperlink r:id="rId3">
        <w:r>
          <w:rPr>
            <w:rStyle w:val="Hyperlink"/>
            <w:b/>
            <w:b/>
            <w:color w:val="0000FF"/>
            <w:u w:val="single"/>
            <w:rtl w:val="true"/>
          </w:rPr>
          <w:t>חוק העונשין</w:t>
        </w:r>
      </w:hyperlink>
      <w:r>
        <w:rPr>
          <w:b/>
          <w:b/>
          <w:rtl w:val="true"/>
        </w:rPr>
        <w:t xml:space="preserve"> תשל</w:t>
      </w:r>
      <w:r>
        <w:rPr>
          <w:b/>
          <w:rtl w:val="true"/>
        </w:rPr>
        <w:t>"</w:t>
      </w:r>
      <w:r>
        <w:rPr>
          <w:b/>
          <w:b/>
          <w:rtl w:val="true"/>
        </w:rPr>
        <w:t>ז</w:t>
      </w:r>
      <w:r>
        <w:rPr>
          <w:b/>
          <w:rtl w:val="true"/>
        </w:rPr>
        <w:t>-</w:t>
      </w:r>
      <w:r>
        <w:rPr>
          <w:b/>
        </w:rPr>
        <w:t>1977</w:t>
      </w:r>
      <w:r>
        <w:rPr>
          <w:b/>
          <w:rtl w:val="true"/>
        </w:rPr>
        <w:t xml:space="preserve"> (</w:t>
      </w:r>
      <w:r>
        <w:rPr>
          <w:b/>
          <w:b/>
          <w:rtl w:val="true"/>
        </w:rPr>
        <w:t>להלן</w:t>
      </w:r>
      <w:r>
        <w:rPr>
          <w:b/>
          <w:rtl w:val="true"/>
        </w:rPr>
        <w:t>:"</w:t>
      </w:r>
      <w:r>
        <w:rPr>
          <w:b/>
          <w:b/>
          <w:rtl w:val="true"/>
        </w:rPr>
        <w:t>החוק</w:t>
      </w:r>
      <w:r>
        <w:rPr>
          <w:b/>
          <w:rtl w:val="true"/>
        </w:rPr>
        <w:t xml:space="preserve">"), </w:t>
      </w:r>
      <w:r>
        <w:rPr>
          <w:b/>
          <w:b/>
          <w:rtl w:val="true"/>
        </w:rPr>
        <w:t>חבלה בכוונה מחמירה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לפי סעיף </w:t>
      </w:r>
      <w:r>
        <w:rPr>
          <w:b/>
        </w:rPr>
        <w:t>329</w:t>
      </w:r>
      <w:r>
        <w:rPr>
          <w:b/>
          <w:rtl w:val="true"/>
        </w:rPr>
        <w:t>(</w:t>
      </w:r>
      <w:r>
        <w:rPr>
          <w:b/>
          <w:b/>
          <w:rtl w:val="true"/>
        </w:rPr>
        <w:t>א</w:t>
      </w:r>
      <w:r>
        <w:rPr>
          <w:b/>
          <w:rtl w:val="true"/>
        </w:rPr>
        <w:t>)(</w:t>
      </w:r>
      <w:r>
        <w:rPr>
          <w:b/>
        </w:rPr>
        <w:t>1</w:t>
      </w:r>
      <w:r>
        <w:rPr>
          <w:b/>
          <w:rtl w:val="true"/>
        </w:rPr>
        <w:t xml:space="preserve">) </w:t>
      </w:r>
      <w:r>
        <w:rPr>
          <w:b/>
          <w:b/>
          <w:rtl w:val="true"/>
        </w:rPr>
        <w:t>ו</w:t>
      </w:r>
      <w:r>
        <w:rPr>
          <w:b/>
          <w:rtl w:val="true"/>
        </w:rPr>
        <w:t>- (</w:t>
      </w:r>
      <w:r>
        <w:rPr>
          <w:b/>
        </w:rPr>
        <w:t>2</w:t>
      </w:r>
      <w:r>
        <w:rPr>
          <w:b/>
          <w:rtl w:val="true"/>
        </w:rPr>
        <w:t>)</w:t>
      </w:r>
      <w:r>
        <w:rPr>
          <w:b/>
          <w:b/>
          <w:rtl w:val="true"/>
        </w:rPr>
        <w:t>לחוק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 xml:space="preserve">והפרת הוראה חוקית לפי סעיף </w:t>
      </w:r>
      <w:r>
        <w:rPr>
          <w:b/>
        </w:rPr>
        <w:t>287</w:t>
      </w:r>
      <w:r>
        <w:rPr>
          <w:b/>
          <w:rtl w:val="true"/>
        </w:rPr>
        <w:t xml:space="preserve"> (</w:t>
      </w:r>
      <w:r>
        <w:rPr>
          <w:b/>
          <w:b/>
          <w:rtl w:val="true"/>
        </w:rPr>
        <w:t>א</w:t>
      </w:r>
      <w:r>
        <w:rPr>
          <w:b/>
          <w:rtl w:val="true"/>
        </w:rPr>
        <w:t xml:space="preserve">) </w:t>
      </w:r>
      <w:r>
        <w:rPr>
          <w:b/>
          <w:b/>
          <w:rtl w:val="true"/>
        </w:rPr>
        <w:t>לחוק</w:t>
      </w:r>
      <w:r>
        <w:rPr>
          <w:b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המליצו הצדדים לבית המשפט להטיל על הנאשם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פיצויים למתלונן בסך 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ופסילת רישיון נהיגה למשך שנתיים מיום גזר הדין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מתסקיר שירות המבחן על הנאשם עולה כי הוא כבן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 xml:space="preserve">סיים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לימוד במגמת חשמל</w:t>
      </w:r>
      <w:r>
        <w:rPr>
          <w:rtl w:val="true"/>
        </w:rPr>
        <w:t xml:space="preserve">. </w:t>
      </w:r>
      <w:r>
        <w:rPr>
          <w:rtl w:val="true"/>
        </w:rPr>
        <w:t>שירות המבחן התרשם מבחור בעל שאיפות נורמטיביות</w:t>
      </w:r>
      <w:r>
        <w:rPr>
          <w:rtl w:val="true"/>
        </w:rPr>
        <w:t xml:space="preserve">, </w:t>
      </w:r>
      <w:r>
        <w:rPr>
          <w:rtl w:val="true"/>
        </w:rPr>
        <w:t>שתחושות אחריות כלפי משפחתו מובילות אותו לנקיטת פעולות אלימות</w:t>
      </w:r>
      <w:r>
        <w:rPr>
          <w:rtl w:val="true"/>
        </w:rPr>
        <w:t xml:space="preserve">. </w:t>
      </w:r>
      <w:r>
        <w:rPr>
          <w:rtl w:val="true"/>
        </w:rPr>
        <w:t>הנאשם הסביר כי העבירה בוצעה במסגרת סכסוך משפחתי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 xml:space="preserve"> </w:t>
      </w:r>
    </w:p>
    <w:p>
      <w:pPr>
        <w:pStyle w:val="Heading2"/>
        <w:ind w:hanging="720" w:start="720" w:end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</w:t>
      </w:r>
      <w:r>
        <w:rPr>
          <w:b w:val="false"/>
          <w:bCs w:val="false"/>
          <w:i w:val="false"/>
          <w:iCs w:val="false"/>
          <w:rtl w:val="true"/>
        </w:rPr>
        <w:t>.</w:t>
        <w:tab/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</w:t>
      </w:r>
      <w:r>
        <w:rPr>
          <w:b w:val="false"/>
          <w:bCs w:val="false"/>
          <w:i w:val="false"/>
          <w:iCs w:val="false"/>
          <w:rtl w:val="true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 המאשימה הסבירה כי הרקע להסדר הטיעון נעוץ בקשיים ראייתיים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ב</w:t>
      </w:r>
      <w:r>
        <w:rPr>
          <w:b w:val="false"/>
          <w:bCs w:val="false"/>
          <w:i w:val="false"/>
          <w:iCs w:val="false"/>
          <w:rtl w:val="true"/>
        </w:rPr>
        <w:t>"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כ הנאשם ציין את נסיבותיו</w:t>
      </w:r>
      <w:r>
        <w:rPr>
          <w:b w:val="false"/>
          <w:bCs w:val="false"/>
          <w:i w:val="false"/>
          <w:iCs w:val="false"/>
          <w:rtl w:val="true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את הודאתו ואת החרטה שהביע</w:t>
      </w:r>
      <w:r>
        <w:rPr>
          <w:b w:val="false"/>
          <w:bCs w:val="false"/>
          <w:i w:val="false"/>
          <w:iCs w:val="false"/>
          <w:rtl w:val="true"/>
        </w:rPr>
        <w:t xml:space="preserve">. </w:t>
      </w:r>
      <w:r>
        <w:rPr>
          <w:b w:val="false"/>
          <w:b w:val="false"/>
          <w:bCs w:val="false"/>
          <w:i w:val="false"/>
          <w:i w:val="false"/>
          <w:iCs w:val="false"/>
          <w:rtl w:val="true"/>
        </w:rPr>
        <w:t>והצדדים ביקשו לאמץ את העונש המוצע</w:t>
      </w:r>
      <w:r>
        <w:rPr>
          <w:b w:val="false"/>
          <w:bCs w:val="false"/>
          <w:i w:val="false"/>
          <w:iCs w:val="fals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i/>
          <w:i/>
          <w:iCs/>
          <w:lang w:val="en-IL" w:eastAsia="en-IL"/>
        </w:rPr>
      </w:pPr>
      <w:r>
        <w:rPr>
          <w:b/>
          <w:bCs/>
          <w:i/>
          <w:iCs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</w:rPr>
      </w:pPr>
      <w:r>
        <w:rPr>
          <w:b/>
          <w:lang w:val="en-IL" w:eastAsia="en-IL"/>
        </w:rPr>
        <w:t>7</w:t>
      </w:r>
      <w:r>
        <w:rPr>
          <w:b/>
          <w:rtl w:val="true"/>
          <w:lang w:val="en-IL" w:eastAsia="en-IL"/>
        </w:rPr>
        <w:t>.</w:t>
        <w:tab/>
      </w:r>
      <w:r>
        <w:rPr>
          <w:b/>
          <w:b/>
          <w:rtl w:val="true"/>
          <w:lang w:val="en-IL" w:eastAsia="en-IL"/>
        </w:rPr>
        <w:t>אין צורך להכביר מלים על החומרה היתרה שבירי מנשק חם לעבר אדם</w:t>
      </w:r>
      <w:r>
        <w:rPr>
          <w:b/>
          <w:rtl w:val="true"/>
          <w:lang w:val="en-IL" w:eastAsia="en-IL"/>
        </w:rPr>
        <w:t xml:space="preserve">. </w:t>
      </w:r>
      <w:r>
        <w:rPr>
          <w:b/>
          <w:b/>
          <w:rtl w:val="true"/>
          <w:lang w:val="en-IL" w:eastAsia="en-IL"/>
        </w:rPr>
        <w:t>הסכנה הטמונה בכך</w:t>
      </w:r>
      <w:r>
        <w:rPr>
          <w:b/>
          <w:rtl w:val="true"/>
          <w:lang w:val="en-IL" w:eastAsia="en-IL"/>
        </w:rPr>
        <w:t xml:space="preserve">, </w:t>
      </w:r>
      <w:r>
        <w:rPr>
          <w:b/>
          <w:b/>
          <w:rtl w:val="true"/>
          <w:lang w:val="en-IL" w:eastAsia="en-IL"/>
        </w:rPr>
        <w:t>ברורה מאליה</w:t>
      </w:r>
      <w:r>
        <w:rPr>
          <w:b/>
          <w:rtl w:val="true"/>
          <w:lang w:val="en-IL" w:eastAsia="en-IL"/>
        </w:rPr>
        <w:t xml:space="preserve">. </w:t>
      </w:r>
      <w:r>
        <w:rPr>
          <w:rtl w:val="true"/>
        </w:rPr>
        <w:t>מי שמרשה לעצמו לירות מנשק חם</w:t>
      </w:r>
      <w:r>
        <w:rPr>
          <w:rtl w:val="true"/>
        </w:rPr>
        <w:t xml:space="preserve">, </w:t>
      </w:r>
      <w:r>
        <w:rPr>
          <w:rtl w:val="true"/>
        </w:rPr>
        <w:t>ממרחק קצר יחסית</w:t>
      </w:r>
      <w:r>
        <w:rPr>
          <w:rtl w:val="true"/>
        </w:rPr>
        <w:t xml:space="preserve">, </w:t>
      </w:r>
      <w:r>
        <w:rPr>
          <w:rtl w:val="true"/>
        </w:rPr>
        <w:t>לעבר אדם</w:t>
      </w:r>
      <w:r>
        <w:rPr>
          <w:rtl w:val="true"/>
        </w:rPr>
        <w:t xml:space="preserve">, </w:t>
      </w:r>
      <w:r>
        <w:rPr>
          <w:rtl w:val="true"/>
        </w:rPr>
        <w:t>מלמד על עצמו כי חיי אדם אינם נחשבים בעיניו והוא מסוכן לציבור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b/>
        </w:rPr>
      </w:pPr>
      <w:r>
        <w:rPr>
          <w:b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ולאחר ששקלתי בדבר</w:t>
      </w:r>
      <w:r>
        <w:rPr>
          <w:rtl w:val="true"/>
        </w:rPr>
        <w:t xml:space="preserve">, </w:t>
      </w:r>
      <w:r>
        <w:rPr>
          <w:rtl w:val="true"/>
        </w:rPr>
        <w:t>באתי למסקנה כי יש לכבד את הסדר הטיעון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b/>
          <w:b/>
          <w:rtl w:val="true"/>
        </w:rPr>
        <w:t>א</w:t>
      </w:r>
      <w:r>
        <w:rPr>
          <w:b/>
          <w:rtl w:val="true"/>
        </w:rPr>
        <w:t>.</w:t>
        <w:tab/>
        <w:t>"</w:t>
      </w:r>
      <w:r>
        <w:rPr>
          <w:b/>
          <w:b/>
          <w:rtl w:val="true"/>
        </w:rPr>
        <w:t xml:space="preserve">הסדר טיעון </w:t>
      </w:r>
      <w:r>
        <w:rPr>
          <w:rtl w:val="true"/>
        </w:rPr>
        <w:t>– באשר הוא – אינו רק שיקול אחד ככל יתר השיקולים העומדים בפני בית</w:t>
      </w:r>
      <w:r>
        <w:rPr>
          <w:vertAlign w:val="superscript"/>
          <w:rtl w:val="true"/>
        </w:rPr>
        <w:t>-</w:t>
      </w:r>
      <w:r>
        <w:rPr>
          <w:rtl w:val="true"/>
        </w:rPr>
        <w:t>המשפט הגוזר את העונש</w:t>
      </w:r>
      <w:r>
        <w:rPr>
          <w:rtl w:val="true"/>
        </w:rPr>
        <w:t xml:space="preserve">. </w:t>
      </w:r>
      <w:r>
        <w:rPr>
          <w:rtl w:val="true"/>
        </w:rPr>
        <w:t>הסדר טיעון</w:t>
      </w:r>
      <w:r>
        <w:rPr>
          <w:rtl w:val="true"/>
        </w:rPr>
        <w:t xml:space="preserve">, </w:t>
      </w:r>
      <w:r>
        <w:rPr>
          <w:rtl w:val="true"/>
        </w:rPr>
        <w:t>כשהוא לעצמו</w:t>
      </w:r>
      <w:r>
        <w:rPr>
          <w:rtl w:val="true"/>
        </w:rPr>
        <w:t xml:space="preserve">, </w:t>
      </w:r>
      <w:r>
        <w:rPr>
          <w:rtl w:val="true"/>
        </w:rPr>
        <w:t>הוא שיקול מרכזי בגזירת הדין הן מטעמים של אינטרס הציבור הן כדי למלא אחר ציפיות הנאשם המוותר בהודאתו על זכותו לניהול ההליך הפלילי עד תומו</w:t>
      </w:r>
      <w:r>
        <w:rPr>
          <w:rtl w:val="true"/>
        </w:rPr>
        <w:t xml:space="preserve">. </w:t>
      </w:r>
      <w:r>
        <w:rPr>
          <w:rtl w:val="true"/>
        </w:rPr>
        <w:t>האינטרס הציבורי במובנו הרחב מחייב את בתי</w:t>
      </w:r>
      <w:r>
        <w:rPr>
          <w:vertAlign w:val="superscript"/>
          <w:rtl w:val="true"/>
        </w:rPr>
        <w:t>-</w:t>
      </w:r>
      <w:r>
        <w:rPr>
          <w:rtl w:val="true"/>
        </w:rPr>
        <w:t>המשפט לעודד קיומם של הסדרי טיעון</w:t>
      </w:r>
      <w:r>
        <w:rPr>
          <w:rtl w:val="true"/>
        </w:rPr>
        <w:t xml:space="preserve">. </w:t>
      </w:r>
      <w:r>
        <w:rPr>
          <w:rtl w:val="true"/>
        </w:rPr>
        <w:t>קיום הסדרי טיעון מאפשר פריסה רחבה יותר של אכיפת החוק</w:t>
      </w:r>
      <w:r>
        <w:rPr>
          <w:rtl w:val="true"/>
        </w:rPr>
        <w:t xml:space="preserve">, </w:t>
      </w:r>
      <w:r>
        <w:rPr>
          <w:rtl w:val="true"/>
        </w:rPr>
        <w:t>ובכך יש כוח מרתיע כשלעצמו</w:t>
      </w:r>
      <w:r>
        <w:rPr>
          <w:rtl w:val="true"/>
        </w:rPr>
        <w:t xml:space="preserve">, </w:t>
      </w:r>
      <w:r>
        <w:rPr>
          <w:rtl w:val="true"/>
        </w:rPr>
        <w:t>העשוי לאזן את אפקט ההקלה בעונש במקרה הקונקרטי</w:t>
      </w:r>
      <w:r>
        <w:rPr>
          <w:rtl w:val="true"/>
        </w:rPr>
        <w:t>. ...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vertAlign w:val="superscript"/>
          <w:rtl w:val="true"/>
        </w:rPr>
        <w:t>-</w:t>
      </w:r>
      <w:r>
        <w:rPr>
          <w:rtl w:val="true"/>
        </w:rPr>
        <w:t>המשפט יראה לקיים את הסדר הטיעון בשל הטעמים הקשורים בחשיבותם ובמעמדם של הסדרי הטיעון</w:t>
      </w:r>
      <w:r>
        <w:rPr>
          <w:rtl w:val="true"/>
        </w:rPr>
        <w:t xml:space="preserve">". - </w:t>
      </w:r>
      <w:r>
        <w:rPr>
          <w:rFonts w:ascii="FrankRuehl" w:hAnsi="FrankRuehl" w:cs="FrankRuehl"/>
          <w:color w:val="000000"/>
          <w:rtl w:val="true"/>
        </w:rPr>
        <w:t>ע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 xml:space="preserve">פ </w:t>
      </w:r>
      <w:r>
        <w:rPr>
          <w:rFonts w:cs="FrankRuehl" w:ascii="FrankRuehl" w:hAnsi="FrankRuehl"/>
          <w:color w:val="000000"/>
        </w:rPr>
        <w:t>1958/98</w:t>
      </w:r>
      <w:r>
        <w:rPr>
          <w:rFonts w:cs="FrankRuehl" w:ascii="FrankRuehl" w:hAnsi="FrankRuehl"/>
          <w:color w:val="000000"/>
          <w:rtl w:val="true"/>
        </w:rPr>
        <w:t xml:space="preserve">‏ </w:t>
      </w:r>
      <w:r>
        <w:rPr>
          <w:rFonts w:ascii="FrankRuehl" w:hAnsi="FrankRuehl" w:cs="FrankRuehl"/>
          <w:color w:val="000000"/>
          <w:rtl w:val="true"/>
        </w:rPr>
        <w:t>פלוני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פ</w:t>
      </w:r>
      <w:r>
        <w:rPr>
          <w:rFonts w:cs="FrankRuehl" w:ascii="FrankRuehl" w:hAnsi="FrankRuehl"/>
          <w:color w:val="000000"/>
          <w:rtl w:val="true"/>
        </w:rPr>
        <w:t>''</w:t>
      </w:r>
      <w:r>
        <w:rPr>
          <w:rFonts w:ascii="FrankRuehl" w:hAnsi="FrankRuehl" w:cs="FrankRuehl"/>
          <w:color w:val="000000"/>
          <w:rtl w:val="true"/>
        </w:rPr>
        <w:t>ד נז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cs="FrankRuehl" w:ascii="FrankRuehl" w:hAnsi="FrankRuehl"/>
          <w:color w:val="000000"/>
        </w:rPr>
        <w:t>1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cs="FrankRuehl" w:ascii="FrankRuehl" w:hAnsi="FrankRuehl"/>
          <w:color w:val="000000"/>
        </w:rPr>
        <w:t>577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הרקע להסדר הטיעון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ענייני וסביר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כתב האישום המקורי שהוגש נגד הנאשם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תוקן משמעותית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ד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למרבה המזל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הפגיעה שנגרמה למתלונן אינה חמורה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ה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הנאשם הודה במיוחס לו וחסך זמן שיפוט יקר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ו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 xml:space="preserve">הנאשם צעיר כבן </w:t>
      </w:r>
      <w:r>
        <w:rPr>
          <w:rFonts w:cs="FrankRuehl" w:ascii="FrankRuehl" w:hAnsi="FrankRuehl"/>
          <w:color w:val="000000"/>
        </w:rPr>
        <w:t>21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וזהו מאסרו הראשון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ז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הנאשם נתון במעצר – שתנאיו קשים משל מאסר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מזה כשנתיים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בהתחשב במעשי הנאשם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העבירות בהן הורשע ונתוניו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עונש המאסר המוצע – סביר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/>
        <w:t>9</w:t>
      </w:r>
      <w:r>
        <w:rPr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על כן אני דן את הנאשם לעונשים הבאים</w:t>
      </w:r>
      <w:r>
        <w:rPr>
          <w:rFonts w:cs="FrankRuehl" w:ascii="FrankRuehl" w:hAnsi="FrankRuehl"/>
          <w:color w:val="000000"/>
          <w:rtl w:val="true"/>
        </w:rPr>
        <w:t>:</w:t>
      </w:r>
    </w:p>
    <w:p>
      <w:pPr>
        <w:pStyle w:val="Normal"/>
        <w:spacing w:lineRule="auto" w:line="360"/>
        <w:ind w:firstLine="72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א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45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 מאסר בפועל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 xml:space="preserve">מיום מעצרו  </w:t>
      </w:r>
      <w:r>
        <w:rPr>
          <w:rFonts w:cs="FrankRuehl" w:ascii="FrankRuehl" w:hAnsi="FrankRuehl"/>
          <w:color w:val="000000"/>
        </w:rPr>
        <w:t>24.07.09</w:t>
      </w:r>
      <w:r>
        <w:rPr>
          <w:rFonts w:cs="FrankRuehl" w:ascii="FrankRuehl" w:hAnsi="FrankRuehl"/>
          <w:color w:val="000000"/>
          <w:rtl w:val="true"/>
        </w:rPr>
        <w:t xml:space="preserve"> .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8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 מאסר על תנאי למשך שלוש שנים מיום שחרורו מהמאסר שלא יעבור עבירה המסווגת כפשע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 xml:space="preserve">אני מחייב את הנאשם לשלם למתלונן פיצויים בסך של </w:t>
      </w:r>
      <w:r>
        <w:rPr>
          <w:rFonts w:cs="FrankRuehl" w:ascii="FrankRuehl" w:hAnsi="FrankRuehl"/>
          <w:color w:val="000000"/>
        </w:rPr>
        <w:t>5,000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ח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הפיצויים ישולמו ב</w:t>
      </w:r>
      <w:r>
        <w:rPr>
          <w:rFonts w:cs="FrankRuehl" w:ascii="FrankRuehl" w:hAnsi="FrankRuehl"/>
          <w:color w:val="000000"/>
          <w:rtl w:val="true"/>
        </w:rPr>
        <w:t xml:space="preserve">- </w:t>
      </w:r>
      <w:r>
        <w:rPr>
          <w:rFonts w:cs="FrankRuehl" w:ascii="FrankRuehl" w:hAnsi="FrankRuehl"/>
          <w:color w:val="000000"/>
        </w:rPr>
        <w:t>5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תשלומים שווים ורצופים החל מיום </w:t>
      </w:r>
      <w:r>
        <w:rPr>
          <w:rFonts w:cs="FrankRuehl" w:ascii="FrankRuehl" w:hAnsi="FrankRuehl"/>
          <w:color w:val="000000"/>
        </w:rPr>
        <w:t>1.6.11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תשלום שלא ישולם במועדו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יעמיד את כל היתרה לפרעון מיידי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Times New Roman" w:hAnsi="Times New Roman" w:cs="Times New Roman"/>
        </w:rPr>
      </w:pPr>
      <w:r>
        <w:rPr>
          <w:rFonts w:ascii="FrankRuehl" w:hAnsi="FrankRuehl" w:cs="FrankRuehl"/>
          <w:color w:val="000000"/>
          <w:rtl w:val="true"/>
        </w:rPr>
        <w:t>ד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אני פוסל הנאשם מלקבל או להחזיק רישיון נהיגה למשך שנתיים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הפסילה תימנה מהיום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bCs/>
        </w:rPr>
      </w:pPr>
      <w:r>
        <w:rPr>
          <w:bCs/>
          <w:rtl w:val="true"/>
        </w:rPr>
        <w:t xml:space="preserve">זכות ערעור תוך </w:t>
      </w:r>
      <w:r>
        <w:rPr>
          <w:bCs/>
        </w:rPr>
        <w:t>45</w:t>
      </w:r>
      <w:r>
        <w:rPr>
          <w:bCs/>
          <w:rtl w:val="true"/>
        </w:rPr>
        <w:t xml:space="preserve"> </w:t>
      </w:r>
      <w:r>
        <w:rPr>
          <w:bCs/>
          <w:rtl w:val="true"/>
        </w:rPr>
        <w:t>יום</w:t>
      </w:r>
      <w:r>
        <w:rPr>
          <w:bCs/>
          <w:rtl w:val="true"/>
        </w:rPr>
        <w:t>.</w:t>
      </w:r>
    </w:p>
    <w:p>
      <w:pPr>
        <w:pStyle w:val="David"/>
        <w:ind w:end="0"/>
        <w:jc w:val="both"/>
        <w:rPr>
          <w:bCs/>
        </w:rPr>
      </w:pPr>
      <w:r>
        <w:rPr>
          <w:bCs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09/05/2011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8185-09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ראד אבו טהה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2011-05-11T06:50:00Z</dcterms:created>
  <dc:creator> </dc:creator>
  <dc:description/>
  <cp:keywords/>
  <dc:language>en-IL</dc:language>
  <cp:lastModifiedBy>eli</cp:lastModifiedBy>
  <dcterms:modified xsi:type="dcterms:W3CDTF">2011-05-11T06:50:00Z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ראד אבו טהה</vt:lpwstr>
  </property>
  <property fmtid="{D5CDD505-2E9C-101B-9397-08002B2CF9AE}" pid="4" name="CITY">
    <vt:lpwstr>ב"ש</vt:lpwstr>
  </property>
  <property fmtid="{D5CDD505-2E9C-101B-9397-08002B2CF9AE}" pid="5" name="DATE">
    <vt:lpwstr>20110509</vt:lpwstr>
  </property>
  <property fmtid="{D5CDD505-2E9C-101B-9397-08002B2CF9AE}" pid="6" name="JUDGE">
    <vt:lpwstr>אליהו ביתן</vt:lpwstr>
  </property>
  <property fmtid="{D5CDD505-2E9C-101B-9397-08002B2CF9AE}" pid="7" name="NEWPARTA">
    <vt:lpwstr>8185</vt:lpwstr>
  </property>
  <property fmtid="{D5CDD505-2E9C-101B-9397-08002B2CF9AE}" pid="8" name="NEWPARTB">
    <vt:lpwstr/>
  </property>
  <property fmtid="{D5CDD505-2E9C-101B-9397-08002B2CF9AE}" pid="9" name="NEWPARTC">
    <vt:lpwstr>09</vt:lpwstr>
  </property>
  <property fmtid="{D5CDD505-2E9C-101B-9397-08002B2CF9AE}" pid="10" name="NEWPROC">
    <vt:lpwstr>תפ</vt:lpwstr>
  </property>
  <property fmtid="{D5CDD505-2E9C-101B-9397-08002B2CF9AE}" pid="11" name="PROCNUM">
    <vt:lpwstr>8185</vt:lpwstr>
  </property>
  <property fmtid="{D5CDD505-2E9C-101B-9397-08002B2CF9AE}" pid="12" name="PROCYEAR">
    <vt:lpwstr>09</vt:lpwstr>
  </property>
  <property fmtid="{D5CDD505-2E9C-101B-9397-08002B2CF9AE}" pid="13" name="PSAKDIN">
    <vt:lpwstr>גזר-דין</vt:lpwstr>
  </property>
  <property fmtid="{D5CDD505-2E9C-101B-9397-08002B2CF9AE}" pid="14" name="RemarkFileName">
    <vt:lpwstr>mechozi me 09 8185 857 htm</vt:lpwstr>
  </property>
  <property fmtid="{D5CDD505-2E9C-101B-9397-08002B2CF9AE}" pid="15" name="TYPE">
    <vt:lpwstr>2</vt:lpwstr>
  </property>
  <property fmtid="{D5CDD505-2E9C-101B-9397-08002B2CF9AE}" pid="16" name="TYPE_ABS_DATE">
    <vt:lpwstr>390020110509</vt:lpwstr>
  </property>
  <property fmtid="{D5CDD505-2E9C-101B-9397-08002B2CF9AE}" pid="17" name="TYPE_N_DATE">
    <vt:lpwstr>39020110509</vt:lpwstr>
  </property>
  <property fmtid="{D5CDD505-2E9C-101B-9397-08002B2CF9AE}" pid="18" name="WORDNUMPAGES">
    <vt:lpwstr>3</vt:lpwstr>
  </property>
</Properties>
</file>