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8245/09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זאייר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8324/09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זאייד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עמרי אבו זאייר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 אבו זאייד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רננה לוי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 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אהוד בן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יהודה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autoSpaceDE w:val="false"/>
        <w:spacing w:lineRule="auto" w:line="360"/>
        <w:ind w:end="0"/>
        <w:jc w:val="start"/>
        <w:rPr>
          <w:rFonts w:ascii="Times New Roman" w:hAnsi="Times New Roman"/>
        </w:rPr>
      </w:pP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הורשעו 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 </w:t>
      </w:r>
      <w:r>
        <w:rPr>
          <w:rtl w:val="true"/>
        </w:rPr>
        <w:t xml:space="preserve">בעבירות של החזקת נשק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 xml:space="preserve">וירי באזור מגורים לפי סעיף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 לחוק</w:t>
      </w:r>
      <w:r>
        <w:rPr>
          <w:rtl w:val="true"/>
        </w:rPr>
        <w:t xml:space="preserve">. </w:t>
      </w:r>
      <w:r>
        <w:rPr>
          <w:rtl w:val="true"/>
        </w:rPr>
        <w:t>הם הודו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בתאריך </w:t>
      </w:r>
      <w:r>
        <w:rPr/>
        <w:t>20.09.09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הם נסעו ברכב וירו בנשק חם אותו החזיקו שלא כדין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המליצו הצדדים</w:t>
      </w:r>
      <w:r>
        <w:rPr>
          <w:rtl w:val="true"/>
        </w:rPr>
        <w:t xml:space="preserve"> </w:t>
      </w:r>
      <w:r>
        <w:rPr>
          <w:rtl w:val="true"/>
        </w:rPr>
        <w:t>לבית המשפט 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6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לנשיאה בעבודות שירות</w:t>
      </w:r>
      <w:r>
        <w:rPr>
          <w:rtl w:val="true"/>
        </w:rPr>
        <w:t xml:space="preserve">, </w:t>
      </w:r>
      <w:r>
        <w:rPr>
          <w:rtl w:val="true"/>
        </w:rPr>
        <w:t>קנס כספי ומאסר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הסבירה כי הרקע להסדר הטיעון נעוץ בקשיים ראייתיים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ציין את נסיבותיהם </w:t>
      </w:r>
      <w:r>
        <w:rPr>
          <w:rtl w:val="true"/>
        </w:rPr>
        <w:t xml:space="preserve">-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שניהם נעדרי עבר פלילי</w:t>
      </w:r>
      <w:r>
        <w:rPr>
          <w:rtl w:val="true"/>
        </w:rPr>
        <w:t xml:space="preserve">. </w:t>
      </w:r>
      <w:r>
        <w:rPr>
          <w:rtl w:val="true"/>
        </w:rPr>
        <w:t>שניהם נשואים ואבות לילדים ושניהם היו סטודנטים עובר למעצרם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>הממונה על עבודות השירות הגיש חוות דעת על כל אחד מהנאשמים וציין כי הם מתאימים לנשיאת המאסר שיגזר עליהם בעבודות שירות וכי נמצאה להם עבודת שירות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>החזקת נשק שלא כדין וירי בו בטבורה של עיר מתוך רכב נוסע</w:t>
      </w:r>
      <w:r>
        <w:rPr>
          <w:rtl w:val="true"/>
        </w:rPr>
        <w:t xml:space="preserve">, </w:t>
      </w:r>
      <w:r>
        <w:rPr>
          <w:rtl w:val="true"/>
        </w:rPr>
        <w:t>הם מעשים מסוכנים וחמורים</w:t>
      </w:r>
      <w:r>
        <w:rPr>
          <w:rtl w:val="true"/>
        </w:rPr>
        <w:t xml:space="preserve">. </w:t>
      </w:r>
      <w:r>
        <w:rPr>
          <w:rtl w:val="true"/>
        </w:rPr>
        <w:t>תופעה זו רווחת באזורנו וככלל יש להגיב עליה בחומרה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 </w:t>
      </w:r>
      <w:r>
        <w:rPr>
          <w:rtl w:val="true"/>
        </w:rPr>
        <w:t>הטיעון וברקעו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בתיקון המשמעותי שנעשה בכתב האישום המקורי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בגילם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ובעברם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 לכבד את הסדר הטיעון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 אחד מהנאשמים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הנאשמים ישאו את עונש המאסר בעבודת שירות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מהיום שלא יעבור עבירה מסוג פשע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 xml:space="preserve">קנס בסך  </w:t>
      </w:r>
      <w:r>
        <w:rPr/>
        <w:t>7500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  <w:t xml:space="preserve">על כל אחד מהנאשמים להתייצב ביום </w:t>
      </w:r>
      <w:r>
        <w:rPr/>
        <w:t>31.5.11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בפני הממונה על עבודות השירות במפקדת מחוז דרום של שב</w:t>
      </w:r>
      <w:r>
        <w:rPr>
          <w:rtl w:val="true"/>
        </w:rPr>
        <w:t>"</w:t>
      </w:r>
      <w:r>
        <w:rPr>
          <w:rtl w:val="true"/>
        </w:rPr>
        <w:t>ס בבאר שבע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הפקדתי בבית המשפט</w:t>
      </w:r>
      <w:r>
        <w:rPr>
          <w:rtl w:val="true"/>
        </w:rPr>
        <w:t xml:space="preserve">, </w:t>
      </w:r>
      <w:r>
        <w:rPr>
          <w:rtl w:val="true"/>
        </w:rPr>
        <w:t>בתיק המעצר</w:t>
      </w:r>
      <w:r>
        <w:rPr>
          <w:rtl w:val="true"/>
        </w:rPr>
        <w:t xml:space="preserve">, </w:t>
      </w:r>
      <w:r>
        <w:rPr>
          <w:rtl w:val="true"/>
        </w:rPr>
        <w:t xml:space="preserve">פקדון בסך </w:t>
      </w:r>
      <w:r>
        <w:rPr/>
        <w:t>22,000</w:t>
      </w:r>
      <w:r>
        <w:rPr>
          <w:rtl w:val="true"/>
        </w:rPr>
        <w:t xml:space="preserve"> ₪. </w:t>
      </w:r>
      <w:r>
        <w:rPr>
          <w:rtl w:val="true"/>
        </w:rPr>
        <w:t>אני מבקש שהקנס יקוזז ממנו והיתרה תושב לאבי שהפקיד את הכסף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הפקדתי בבית המשפט</w:t>
      </w:r>
      <w:r>
        <w:rPr>
          <w:rtl w:val="true"/>
        </w:rPr>
        <w:t xml:space="preserve">, </w:t>
      </w:r>
      <w:r>
        <w:rPr>
          <w:rtl w:val="true"/>
        </w:rPr>
        <w:t>בתיק המעצר</w:t>
      </w:r>
      <w:r>
        <w:rPr>
          <w:rtl w:val="true"/>
        </w:rPr>
        <w:t xml:space="preserve">, </w:t>
      </w:r>
      <w:r>
        <w:rPr>
          <w:rtl w:val="true"/>
        </w:rPr>
        <w:t xml:space="preserve">פקדון בסך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אני מבקש שהקנס יקוזז ממנו והיתרה תושב לאבי שהפקיד את הכסף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הפקיד את הפקדון בתיק </w:t>
      </w:r>
      <w:hyperlink r:id="rId3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21868/09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הפקיד את הפקדון בתיק </w:t>
      </w:r>
      <w:hyperlink r:id="rId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</w:rPr>
          <w:t>22482/09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מסכימה שהקנס יקוזז מכספי הפקדונות והיתרה תוחזר למי שהפקיד את הפקדונות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 כספי הפקדונות של כל אחד מהנאשמים ישולם הקנס שהוטל עליו והיתרה תוחזר למי שהפקיד את הפקדון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54678313-8245/09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זיוה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8245/09</w:t>
    </w:r>
    <w:r>
      <w:rPr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עמרי אבו זאייר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489;&#1513;%2021868/09" TargetMode="External"/><Relationship Id="rId4" Type="http://schemas.openxmlformats.org/officeDocument/2006/relationships/hyperlink" Target="http://www.nevo.co.il/links/psika/?link=&#1489;&#1513;%2022482/09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2011-04-12T12:08:00Z</dcterms:created>
  <dc:creator> </dc:creator>
  <dc:description/>
  <cp:keywords/>
  <dc:language>en-IL</dc:language>
  <cp:lastModifiedBy>orit</cp:lastModifiedBy>
  <dcterms:modified xsi:type="dcterms:W3CDTF">2011-04-12T12:08:00Z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עמרי אבו זאייר;אחמד אבו זאייד</vt:lpwstr>
  </property>
  <property fmtid="{D5CDD505-2E9C-101B-9397-08002B2CF9AE}" pid="4" name="CITY">
    <vt:lpwstr>ב"ש</vt:lpwstr>
  </property>
  <property fmtid="{D5CDD505-2E9C-101B-9397-08002B2CF9AE}" pid="5" name="DATE">
    <vt:lpwstr>20110411</vt:lpwstr>
  </property>
  <property fmtid="{D5CDD505-2E9C-101B-9397-08002B2CF9AE}" pid="6" name="JUDGE">
    <vt:lpwstr>אליהו ביתן</vt:lpwstr>
  </property>
  <property fmtid="{D5CDD505-2E9C-101B-9397-08002B2CF9AE}" pid="7" name="LAWYER">
    <vt:lpwstr>רננה לוי;אהוד בן יהודה</vt:lpwstr>
  </property>
  <property fmtid="{D5CDD505-2E9C-101B-9397-08002B2CF9AE}" pid="8" name="PROCESS">
    <vt:lpwstr>תפ;תפ</vt:lpwstr>
  </property>
  <property fmtid="{D5CDD505-2E9C-101B-9397-08002B2CF9AE}" pid="9" name="PROCNUM">
    <vt:lpwstr>8245;8324</vt:lpwstr>
  </property>
  <property fmtid="{D5CDD505-2E9C-101B-9397-08002B2CF9AE}" pid="10" name="PROCYEAR">
    <vt:lpwstr>09;09</vt:lpwstr>
  </property>
  <property fmtid="{D5CDD505-2E9C-101B-9397-08002B2CF9AE}" pid="11" name="PSAKDIN">
    <vt:lpwstr>גזר-דין</vt:lpwstr>
  </property>
  <property fmtid="{D5CDD505-2E9C-101B-9397-08002B2CF9AE}" pid="12" name="RemarkFileName">
    <vt:lpwstr>mechozi me 09 8245 775 htm</vt:lpwstr>
  </property>
  <property fmtid="{D5CDD505-2E9C-101B-9397-08002B2CF9AE}" pid="13" name="TYPE">
    <vt:lpwstr>2</vt:lpwstr>
  </property>
  <property fmtid="{D5CDD505-2E9C-101B-9397-08002B2CF9AE}" pid="14" name="TYPE_ABS_DATE">
    <vt:lpwstr>390020110411</vt:lpwstr>
  </property>
  <property fmtid="{D5CDD505-2E9C-101B-9397-08002B2CF9AE}" pid="15" name="TYPE_N_DATE">
    <vt:lpwstr>39020110411</vt:lpwstr>
  </property>
  <property fmtid="{D5CDD505-2E9C-101B-9397-08002B2CF9AE}" pid="16" name="WORDNUMPAGES">
    <vt:lpwstr>3</vt:lpwstr>
  </property>
</Properties>
</file>