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8284-09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 מחוז דרום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פלילי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אבו גויעד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יוני </w:t>
            </w:r>
            <w:r>
              <w:rPr>
                <w:b/>
                <w:bCs/>
                <w:sz w:val="26"/>
                <w:szCs w:val="26"/>
              </w:rPr>
              <w:t>2010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b/>
          <w:bCs/>
          <w:color w:val="000080"/>
          <w:sz w:val="28"/>
          <w:szCs w:val="28"/>
        </w:rPr>
      </w:pPr>
      <w:r>
        <w:rPr>
          <w:rFonts w:cs="FrankRuehl" w:ascii="Arial" w:hAnsi="Arial"/>
          <w:b/>
          <w:bCs/>
          <w:color w:val="000080"/>
          <w:sz w:val="28"/>
          <w:szCs w:val="28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856"/>
        <w:gridCol w:w="239"/>
        <w:gridCol w:w="2625"/>
      </w:tblGrid>
      <w:tr>
        <w:trPr>
          <w:trHeight w:val="337" w:hRule="atLeast"/>
        </w:trPr>
        <w:tc>
          <w:tcPr>
            <w:tcW w:w="585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בפני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אליהו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ביתן</w:t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spacing w:lineRule="auto" w:line="360"/>
              <w:ind w:end="0"/>
              <w:jc w:val="both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625" w:type="dxa"/>
            <w:tcBorders/>
          </w:tcPr>
          <w:p>
            <w:pPr>
              <w:pStyle w:val="Header"/>
              <w:spacing w:lineRule="auto" w:line="360"/>
              <w:ind w:end="0"/>
              <w:jc w:val="both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22243/09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5562"/>
      </w:tblGrid>
      <w:tr>
        <w:trPr/>
        <w:tc>
          <w:tcPr>
            <w:tcW w:w="3240" w:type="dxa"/>
            <w:tcBorders/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5562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דרום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פלילי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5562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'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סאן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גויעד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)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>&lt;</w:t>
      </w:r>
      <w:r>
        <w:rPr>
          <w:rFonts w:cs="FrankRuehl"/>
          <w:sz w:val="28"/>
          <w:szCs w:val="28"/>
        </w:rPr>
        <w:t>#2#</w:t>
      </w:r>
      <w:r>
        <w:rPr>
          <w:rFonts w:cs="FrankRuehl"/>
          <w:sz w:val="28"/>
          <w:szCs w:val="28"/>
          <w:rtl w:val="true"/>
        </w:rPr>
        <w:t>&gt;</w:t>
      </w:r>
    </w:p>
    <w:p>
      <w:pPr>
        <w:pStyle w:val="12"/>
        <w:spacing w:lineRule="auto" w:line="360"/>
        <w:ind w:end="0"/>
        <w:jc w:val="start"/>
        <w:rPr>
          <w:rFonts w:cs="FrankRuehl"/>
          <w:sz w:val="28"/>
          <w:szCs w:val="28"/>
          <w:u w:val="none"/>
        </w:rPr>
      </w:pPr>
      <w:r>
        <w:rPr>
          <w:rFonts w:cs="FrankRuehl"/>
          <w:sz w:val="28"/>
          <w:sz w:val="28"/>
          <w:szCs w:val="28"/>
          <w:u w:val="none"/>
          <w:rtl w:val="true"/>
        </w:rPr>
        <w:t>נוכחים</w:t>
      </w:r>
      <w:r>
        <w:rPr>
          <w:rFonts w:cs="FrankRuehl"/>
          <w:sz w:val="28"/>
          <w:szCs w:val="28"/>
          <w:u w:val="none"/>
          <w:rtl w:val="true"/>
        </w:rPr>
        <w:t>:</w:t>
      </w:r>
    </w:p>
    <w:p>
      <w:pPr>
        <w:pStyle w:val="12"/>
        <w:spacing w:lineRule="auto" w:line="360"/>
        <w:ind w:end="0"/>
        <w:jc w:val="start"/>
        <w:rPr>
          <w:rFonts w:cs="FrankRuehl"/>
          <w:b w:val="false"/>
          <w:bCs w:val="false"/>
          <w:sz w:val="28"/>
          <w:szCs w:val="28"/>
          <w:u w:val="none"/>
        </w:rPr>
      </w:pPr>
      <w:bookmarkStart w:id="2" w:name="FirstLawyer"/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ב</w:t>
      </w:r>
      <w:r>
        <w:rPr>
          <w:rFonts w:cs="FrankRuehl"/>
          <w:b w:val="false"/>
          <w:bCs w:val="false"/>
          <w:sz w:val="28"/>
          <w:szCs w:val="28"/>
          <w:u w:val="none"/>
          <w:rtl w:val="true"/>
        </w:rPr>
        <w:t>"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כ</w:t>
      </w:r>
      <w:bookmarkEnd w:id="2"/>
      <w:r>
        <w:rPr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המאשימה</w:t>
      </w:r>
      <w:r>
        <w:rPr>
          <w:rFonts w:cs="FrankRuehl"/>
          <w:b w:val="false"/>
          <w:bCs w:val="false"/>
          <w:sz w:val="28"/>
          <w:szCs w:val="28"/>
          <w:u w:val="none"/>
          <w:rtl w:val="true"/>
        </w:rPr>
        <w:t xml:space="preserve">,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עו</w:t>
      </w:r>
      <w:r>
        <w:rPr>
          <w:rFonts w:cs="FrankRuehl"/>
          <w:b w:val="false"/>
          <w:bCs w:val="false"/>
          <w:sz w:val="28"/>
          <w:szCs w:val="28"/>
          <w:u w:val="none"/>
          <w:rtl w:val="true"/>
        </w:rPr>
        <w:t>"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ד</w:t>
      </w:r>
      <w:r>
        <w:rPr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שרה</w:t>
      </w:r>
      <w:r>
        <w:rPr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טל</w:t>
      </w:r>
    </w:p>
    <w:p>
      <w:pPr>
        <w:pStyle w:val="12"/>
        <w:spacing w:lineRule="auto" w:line="360"/>
        <w:ind w:end="0"/>
        <w:jc w:val="start"/>
        <w:rPr>
          <w:rFonts w:cs="FrankRuehl"/>
          <w:b w:val="false"/>
          <w:bCs w:val="false"/>
          <w:sz w:val="28"/>
          <w:szCs w:val="28"/>
          <w:u w:val="none"/>
        </w:rPr>
      </w:pP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הנאשם</w:t>
      </w:r>
      <w:r>
        <w:rPr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ובא</w:t>
      </w:r>
      <w:r>
        <w:rPr>
          <w:rFonts w:cs="FrankRuehl"/>
          <w:b w:val="false"/>
          <w:bCs w:val="false"/>
          <w:sz w:val="28"/>
          <w:szCs w:val="28"/>
          <w:u w:val="none"/>
          <w:rtl w:val="true"/>
        </w:rPr>
        <w:t>-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כוחו</w:t>
      </w:r>
      <w:r>
        <w:rPr>
          <w:rFonts w:cs="FrankRuehl"/>
          <w:b w:val="false"/>
          <w:bCs w:val="false"/>
          <w:sz w:val="28"/>
          <w:szCs w:val="28"/>
          <w:u w:val="none"/>
          <w:rtl w:val="true"/>
        </w:rPr>
        <w:t xml:space="preserve">,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עו</w:t>
      </w:r>
      <w:r>
        <w:rPr>
          <w:rFonts w:cs="FrankRuehl"/>
          <w:b w:val="false"/>
          <w:bCs w:val="false"/>
          <w:sz w:val="28"/>
          <w:szCs w:val="28"/>
          <w:u w:val="none"/>
          <w:rtl w:val="true"/>
        </w:rPr>
        <w:t>"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ד</w:t>
      </w:r>
      <w:r>
        <w:rPr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שי</w:t>
      </w:r>
      <w:r>
        <w:rPr>
          <w:b w:val="false"/>
          <w:b w:val="false"/>
          <w:bCs w:val="false"/>
          <w:sz w:val="28"/>
          <w:sz w:val="28"/>
          <w:szCs w:val="28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8"/>
          <w:sz w:val="28"/>
          <w:szCs w:val="28"/>
          <w:u w:val="none"/>
          <w:rtl w:val="true"/>
        </w:rPr>
        <w:t>ברגר</w:t>
      </w:r>
    </w:p>
    <w:p>
      <w:pPr>
        <w:pStyle w:val="12"/>
        <w:spacing w:lineRule="auto" w:line="360"/>
        <w:ind w:end="0"/>
        <w:jc w:val="start"/>
        <w:rPr>
          <w:rFonts w:cs="FrankRuehl"/>
          <w:b w:val="false"/>
          <w:bCs w:val="false"/>
          <w:sz w:val="6"/>
          <w:szCs w:val="6"/>
          <w:u w:val="none"/>
        </w:rPr>
      </w:pPr>
      <w:r>
        <w:rPr>
          <w:rFonts w:cs="FrankRuehl"/>
          <w:b w:val="false"/>
          <w:bCs w:val="false"/>
          <w:sz w:val="6"/>
          <w:szCs w:val="6"/>
          <w:u w:val="none"/>
          <w:rtl w:val="true"/>
        </w:rPr>
        <w:t>&lt;</w:t>
      </w:r>
      <w:r>
        <w:rPr>
          <w:rFonts w:cs="FrankRuehl"/>
          <w:b w:val="false"/>
          <w:bCs w:val="false"/>
          <w:sz w:val="6"/>
          <w:szCs w:val="6"/>
          <w:u w:val="none"/>
        </w:rPr>
        <w:t>#3#</w:t>
      </w:r>
      <w:r>
        <w:rPr>
          <w:rFonts w:cs="FrankRuehl"/>
          <w:b w:val="false"/>
          <w:bCs w:val="false"/>
          <w:sz w:val="6"/>
          <w:szCs w:val="6"/>
          <w:u w:val="none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12"/>
        <w:spacing w:lineRule="auto" w:line="360"/>
        <w:ind w:end="0"/>
        <w:jc w:val="center"/>
        <w:rPr>
          <w:rFonts w:ascii="Arial" w:hAnsi="Arial" w:eastAsia="David" w:cs="Arial"/>
          <w:sz w:val="28"/>
          <w:szCs w:val="28"/>
        </w:rPr>
      </w:pPr>
      <w:bookmarkStart w:id="3" w:name="PsakDin"/>
      <w:bookmarkEnd w:id="3"/>
      <w:r>
        <w:rPr>
          <w:rFonts w:ascii="Arial" w:hAnsi="Arial" w:eastAsia="David" w:cs="Arial"/>
          <w:sz w:val="28"/>
          <w:sz w:val="28"/>
          <w:szCs w:val="28"/>
          <w:rtl w:val="true"/>
        </w:rPr>
        <w:t>גזר דין</w:t>
      </w:r>
    </w:p>
    <w:p>
      <w:pPr>
        <w:pStyle w:val="12"/>
        <w:spacing w:lineRule="auto" w:line="360"/>
        <w:ind w:end="0"/>
        <w:jc w:val="both"/>
        <w:rPr>
          <w:rFonts w:ascii="David" w:hAnsi="David" w:eastAsia="David" w:cs="David"/>
          <w:b w:val="false"/>
          <w:bCs w:val="false"/>
          <w:sz w:val="28"/>
          <w:szCs w:val="28"/>
          <w:u w:val="none"/>
        </w:rPr>
      </w:pPr>
      <w:r>
        <w:rPr>
          <w:rFonts w:eastAsia="David" w:cs="David" w:ascii="David" w:hAnsi="David"/>
          <w:b w:val="false"/>
          <w:bCs w:val="false"/>
          <w:sz w:val="28"/>
          <w:szCs w:val="28"/>
          <w:u w:val="none"/>
          <w:rtl w:val="true"/>
        </w:rPr>
      </w:r>
      <w:bookmarkStart w:id="4" w:name="PsakDin"/>
      <w:bookmarkStart w:id="5" w:name="PsakDin"/>
      <w:bookmarkEnd w:id="5"/>
    </w:p>
    <w:p>
      <w:pPr>
        <w:pStyle w:val="Normal"/>
        <w:spacing w:lineRule="auto" w:line="360"/>
        <w:ind w:hanging="720" w:start="720"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>.</w:t>
        <w:tab/>
      </w:r>
      <w:bookmarkStart w:id="6" w:name="ABSTRACT_START"/>
      <w:bookmarkEnd w:id="6"/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2008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החזיק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ברובה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קלצ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ניקוב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לאביו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בהזדמנות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מסויימת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סוחר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מערוער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למכור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הקלצ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ניקוב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לסוחר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מחברון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ובמסגרת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סוחר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מערוער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ואדם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נסעו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לחברון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הקלצ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ניקוב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ומכרו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לסוחר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מקומי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בתמורה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10,500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קשירת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לפשע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499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העונשין</w:t>
        </w:r>
      </w:hyperlink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:"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"),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144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והחזקת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144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spacing w:lineRule="auto" w:line="360"/>
        <w:ind w:hanging="720" w:start="720"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הודאת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שבגדרו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המליצו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וקנס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הסבירה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בקושי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להוכיח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המקורי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נחקרו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כחלק</w:t>
      </w:r>
      <w:r>
        <w:rPr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מפרשה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גדולה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שסחרו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במספר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החזקתו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מחייבת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שקודמות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בדיקות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והכשרה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הסיכון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הגלום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בהחזקתו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נשיאתו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ובשימוש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ברור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מאליו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 w:val="28"/>
          <w:szCs w:val="28"/>
          <w:lang w:eastAsia="he-IL"/>
        </w:rPr>
      </w:pPr>
      <w:r>
        <w:rPr>
          <w:rFonts w:cs="FrankRuehl"/>
          <w:sz w:val="28"/>
          <w:sz w:val="28"/>
          <w:szCs w:val="28"/>
          <w:rtl w:val="true"/>
        </w:rPr>
        <w:t>מכירת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חמורה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לדעת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לאלו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יגיע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ואיזה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יעשה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start="1440" w:end="900"/>
        <w:jc w:val="start"/>
        <w:rPr>
          <w:rFonts w:ascii="Arial" w:hAnsi="Arial" w:cs="FrankRuehl"/>
          <w:b/>
          <w:bCs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כלי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הנשק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הנסחרים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עלולים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לעבור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מיד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ליד</w:t>
      </w:r>
      <w:r>
        <w:rPr>
          <w:rFonts w:cs="FrankRueh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הם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לא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נרכשו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באופן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חוקי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וחזקה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שהם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לא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נועדו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לשמש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מטרה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חוקית</w:t>
      </w:r>
      <w:r>
        <w:rPr>
          <w:rFonts w:cs="FrankRueh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גם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כשהם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נמצאים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בידי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אדם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שאינו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עבריין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b/>
          <w:bCs/>
          <w:sz w:val="28"/>
          <w:szCs w:val="28"/>
          <w:rtl w:val="true"/>
        </w:rPr>
        <w:tab/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טמונה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בהם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סכנת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חיים</w:t>
      </w:r>
      <w:r>
        <w:rPr>
          <w:rFonts w:cs="FrankRueh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קל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וחומר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אם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הם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מתגלגלים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ומגיעים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לידי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גורמים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עוינים</w:t>
      </w:r>
      <w:r>
        <w:rPr>
          <w:rFonts w:cs="FrankRuehl" w:ascii="Arial" w:hAnsi="Arial"/>
          <w:b/>
          <w:bCs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ועלינו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לקחת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בחשבון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אפשרות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זו</w:t>
      </w:r>
      <w:r>
        <w:rPr>
          <w:rFonts w:cs="FrankRuehl" w:ascii="Arial" w:hAnsi="Arial"/>
          <w:b/>
          <w:bCs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להרתיע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מפניה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ולמנוע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הסכנה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המחמירה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והולכת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הצפויה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מן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הסחר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בנשק</w:t>
      </w:r>
      <w:r>
        <w:rPr>
          <w:rFonts w:cs="FrankRueh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לכן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שומה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בית</w:t>
      </w:r>
      <w:r>
        <w:rPr>
          <w:rFonts w:cs="FrankRuehl" w:ascii="Arial" w:hAnsi="Arial"/>
          <w:b/>
          <w:bCs/>
          <w:sz w:val="28"/>
          <w:szCs w:val="28"/>
          <w:rtl w:val="true"/>
        </w:rPr>
        <w:t>-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המשפט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להתריע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כנגד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סכנה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זאת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ולפעול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כנדרש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כדי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להרתיע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מפני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עבירה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זאת</w:t>
      </w:r>
      <w:r>
        <w:rPr>
          <w:rFonts w:cs="FrankRuehl" w:ascii="Arial" w:hAnsi="Arial"/>
          <w:sz w:val="28"/>
          <w:szCs w:val="28"/>
          <w:rtl w:val="true"/>
        </w:rPr>
        <w:t>".</w:t>
      </w:r>
      <w:r>
        <w:rPr>
          <w:rFonts w:cs="FrankRuehl" w:ascii="Arial" w:hAnsi="Arial"/>
          <w:b/>
          <w:bCs/>
          <w:sz w:val="28"/>
          <w:szCs w:val="28"/>
          <w:rtl w:val="true"/>
        </w:rPr>
        <w:t xml:space="preserve"> (</w:t>
      </w:r>
      <w:r>
        <w:rPr>
          <w:rFonts w:ascii="Arial" w:hAnsi="Arial" w:cs="FrankRuehl"/>
          <w:sz w:val="28"/>
          <w:sz w:val="28"/>
          <w:szCs w:val="28"/>
          <w:rtl w:val="true"/>
        </w:rPr>
        <w:t>השופט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</w:t>
      </w:r>
      <w:r>
        <w:rPr>
          <w:rFonts w:cs="FrankRuehl" w:ascii="Arial" w:hAnsi="Arial"/>
          <w:sz w:val="28"/>
          <w:szCs w:val="28"/>
          <w:rtl w:val="true"/>
        </w:rPr>
        <w:t xml:space="preserve">' </w:t>
      </w:r>
      <w:r>
        <w:rPr>
          <w:rFonts w:ascii="Arial" w:hAnsi="Arial" w:cs="FrankRuehl"/>
          <w:sz w:val="28"/>
          <w:sz w:val="28"/>
          <w:szCs w:val="28"/>
          <w:rtl w:val="true"/>
        </w:rPr>
        <w:t>זמיר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</w:t>
      </w:r>
      <w:hyperlink r:id="rId3">
        <w:r>
          <w:rPr>
            <w:rStyle w:val="Hyperlink"/>
            <w:rFonts w:ascii="Arial" w:hAnsi="Arial"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 w:ascii="Arial" w:hAnsi="Arial"/>
            <w:sz w:val="28"/>
            <w:szCs w:val="28"/>
            <w:rtl w:val="true"/>
          </w:rPr>
          <w:t>"</w:t>
        </w:r>
        <w:r>
          <w:rPr>
            <w:rStyle w:val="Hyperlink"/>
            <w:rFonts w:ascii="Arial" w:hAnsi="Arial"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ascii="Arial" w:hAnsi="Arial" w:eastAsia="Arial" w:cs="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Arial" w:hAnsi="Arial"/>
            <w:sz w:val="28"/>
            <w:szCs w:val="28"/>
          </w:rPr>
          <w:t>4609/98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טאהא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 w:ascii="Arial" w:hAnsi="Arial"/>
          <w:b/>
          <w:bCs/>
          <w:sz w:val="28"/>
          <w:szCs w:val="28"/>
          <w:rtl w:val="true"/>
        </w:rPr>
        <w:t xml:space="preserve">'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FrankRuehl" w:ascii="Arial" w:hAnsi="Arial"/>
          <w:b/>
          <w:bCs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תק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  <w:rtl w:val="true"/>
        </w:rPr>
        <w:t xml:space="preserve">-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99</w:t>
      </w:r>
      <w:r>
        <w:rPr>
          <w:rFonts w:cs="FrankRuehl" w:ascii="Arial" w:hAnsi="Arial"/>
          <w:sz w:val="28"/>
          <w:szCs w:val="28"/>
          <w:rtl w:val="true"/>
        </w:rPr>
        <w:t>(</w:t>
      </w:r>
      <w:r>
        <w:rPr>
          <w:rFonts w:cs="FrankRuehl" w:ascii="Arial" w:hAnsi="Arial"/>
          <w:sz w:val="28"/>
          <w:szCs w:val="28"/>
        </w:rPr>
        <w:t>2</w:t>
      </w:r>
      <w:r>
        <w:rPr>
          <w:rFonts w:cs="FrankRuehl" w:ascii="Arial" w:hAnsi="Arial"/>
          <w:sz w:val="28"/>
          <w:szCs w:val="28"/>
          <w:rtl w:val="true"/>
        </w:rPr>
        <w:t xml:space="preserve">) </w:t>
      </w:r>
      <w:r>
        <w:rPr>
          <w:rFonts w:cs="FrankRuehl" w:ascii="Arial" w:hAnsi="Arial"/>
          <w:sz w:val="28"/>
          <w:szCs w:val="28"/>
        </w:rPr>
        <w:t>716</w:t>
      </w:r>
      <w:r>
        <w:rPr>
          <w:rFonts w:cs="FrankRuehl" w:ascii="Arial" w:hAnsi="Arial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start"/>
        <w:rPr>
          <w:rFonts w:ascii="Times New Roman" w:hAnsi="Times New Roman" w:cs="FrankRuehl"/>
          <w:b/>
          <w:bCs/>
          <w:sz w:val="28"/>
          <w:szCs w:val="28"/>
        </w:rPr>
      </w:pPr>
      <w:r>
        <w:rPr>
          <w:rFonts w:cs="FrankRuehl" w:ascii="Times New Roman" w:hAnsi="Times New Roman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ענייננו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במיוחד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ברובה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שנמכר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לסוחר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מחברון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המשמעות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החמורה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אספקת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לסוחר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מהרשות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הפלסטינאית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ברגיל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שהצדדים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המליצו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ששקלתי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באתי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לכבד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start"/>
        <w:rPr>
          <w:rFonts w:ascii="FrankRuehl" w:hAnsi="FrankRuehl" w:cs="FrankRuehl"/>
          <w:color w:val="000000"/>
          <w:sz w:val="28"/>
          <w:szCs w:val="28"/>
          <w:lang w:eastAsia="he-IL"/>
        </w:rPr>
      </w:pPr>
      <w:r>
        <w:rPr>
          <w:rFonts w:cs="FrankRuehl"/>
          <w:b/>
          <w:sz w:val="28"/>
          <w:szCs w:val="28"/>
          <w:rtl w:val="true"/>
        </w:rPr>
        <w:t>"</w:t>
      </w:r>
      <w:r>
        <w:rPr>
          <w:rFonts w:cs="FrankRuehl"/>
          <w:b/>
          <w:b/>
          <w:sz w:val="28"/>
          <w:sz w:val="28"/>
          <w:szCs w:val="28"/>
          <w:rtl w:val="true"/>
        </w:rPr>
        <w:t>הסדר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טיעון</w:t>
      </w:r>
      <w:r>
        <w:rPr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העומדים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vertAlign w:val="superscript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הגוזר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מרכזי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בגזירת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מטעמים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אינטרס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למלא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ציפיות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המוותר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בהודאתו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זכותו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לניהול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תומו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האינטרס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במובנו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הרחב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מחייב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cs="FrankRuehl"/>
          <w:sz w:val="28"/>
          <w:szCs w:val="28"/>
          <w:vertAlign w:val="superscript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לעודד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קיום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מאפשר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פריסה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רחבה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אכיפת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מרתיע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כשלעצמו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העשוי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לאזן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אפקט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ההקלה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הקונקרטי</w:t>
      </w:r>
      <w:r>
        <w:rPr>
          <w:rFonts w:cs="FrankRuehl"/>
          <w:sz w:val="28"/>
          <w:szCs w:val="28"/>
          <w:rtl w:val="true"/>
        </w:rPr>
        <w:t>. ...</w:t>
      </w:r>
      <w:r>
        <w:rPr>
          <w:rFonts w:cs="FrankRuehl"/>
          <w:sz w:val="28"/>
          <w:sz w:val="28"/>
          <w:szCs w:val="28"/>
          <w:rtl w:val="true"/>
        </w:rPr>
        <w:t>ככלל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vertAlign w:val="superscript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יראה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הטעמים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בחשיבותם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ובמעמדם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FrankRuehl"/>
          <w:sz w:val="28"/>
          <w:szCs w:val="28"/>
          <w:rtl w:val="true"/>
        </w:rPr>
        <w:t xml:space="preserve">". -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ע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פ </w:t>
      </w:r>
      <w:r>
        <w:rPr>
          <w:rFonts w:cs="FrankRuehl" w:ascii="FrankRuehl" w:hAnsi="FrankRuehl"/>
          <w:color w:val="000000"/>
          <w:sz w:val="28"/>
          <w:szCs w:val="28"/>
        </w:rPr>
        <w:t>1958/98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‏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פלוני נ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מדינת ישראל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פ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''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ד נז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1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 </w:t>
      </w:r>
      <w:r>
        <w:rPr>
          <w:rFonts w:cs="FrankRuehl" w:ascii="FrankRuehl" w:hAnsi="FrankRuehl"/>
          <w:color w:val="000000"/>
          <w:sz w:val="28"/>
          <w:szCs w:val="28"/>
        </w:rPr>
        <w:t>577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start"/>
        <w:rPr>
          <w:rFonts w:ascii="Times New Roman" w:hAnsi="Times New Roman" w:cs="FrankRuehl"/>
          <w:sz w:val="28"/>
          <w:szCs w:val="28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הרקע להסדר הטיעון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ענייני וסביר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start"/>
        <w:rPr>
          <w:rFonts w:cs="FrankRuehl"/>
          <w:sz w:val="28"/>
          <w:szCs w:val="28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כתב האישום המקורי שהוגש נגד הנאשם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-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תוקן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start"/>
        <w:rPr>
          <w:rFonts w:cs="FrankRuehl"/>
          <w:sz w:val="28"/>
          <w:szCs w:val="28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הרובה נשוא האישום היה שייך לאביו המנוח של הנאשם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ולאחר פטירת האב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הנאשם לקח את הרובה אליו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start"/>
        <w:rPr>
          <w:rFonts w:ascii="FrankRuehl" w:hAnsi="FrankRuehl" w:cs="FrankRuehl"/>
          <w:color w:val="000000"/>
          <w:sz w:val="28"/>
          <w:szCs w:val="28"/>
          <w:lang w:eastAsia="he-IL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העונש המוצע כולל מאסר ממשי ויש בו לתרום להרתעת הנאשם והציבור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start"/>
        <w:rPr>
          <w:rFonts w:ascii="Times New Roman" w:hAnsi="Times New Roman" w:cs="FrankRuehl"/>
          <w:sz w:val="28"/>
          <w:szCs w:val="28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הנאשם הודה במיוחס לו וחסך זמן שיפוט יקר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start"/>
        <w:rPr>
          <w:rFonts w:ascii="FrankRuehl" w:hAnsi="FrankRuehl" w:cs="FrankRuehl"/>
          <w:color w:val="000000"/>
          <w:sz w:val="28"/>
          <w:szCs w:val="28"/>
          <w:lang w:eastAsia="he-IL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נסיבותיו האישיות של הנאשם קשות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הוא בן </w:t>
      </w:r>
      <w:r>
        <w:rPr>
          <w:rFonts w:cs="FrankRuehl" w:ascii="FrankRuehl" w:hAnsi="FrankRuehl"/>
          <w:color w:val="000000"/>
          <w:sz w:val="28"/>
          <w:szCs w:val="28"/>
        </w:rPr>
        <w:t>31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נשוי ואב לשישה ילדים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בשנה האחרונה בנו נפגע קשה בראשו בתאונת דרכים ואחיו נהרג לפני כחודשיים בתאונת דרכים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start"/>
        <w:rPr>
          <w:rFonts w:ascii="FrankRuehl" w:hAnsi="FrankRuehl" w:cs="FrankRuehl"/>
          <w:color w:val="000000"/>
          <w:sz w:val="28"/>
          <w:szCs w:val="28"/>
          <w:lang w:eastAsia="he-IL"/>
        </w:rPr>
      </w:pPr>
      <w:r>
        <w:rPr>
          <w:rFonts w:cs="FrankRuehl" w:ascii="FrankRuehl" w:hAnsi="FrankRuehl"/>
          <w:color w:val="000000"/>
          <w:sz w:val="28"/>
          <w:szCs w:val="28"/>
          <w:rtl w:val="true"/>
          <w:lang w:eastAsia="he-IL"/>
        </w:rPr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</w:rPr>
        <w:t>6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על כן אני דן את הנאשם לעונשים הבאים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hanging="720" w:start="1440" w:end="0"/>
        <w:jc w:val="start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  <w:tab/>
      </w:r>
      <w:r>
        <w:rPr>
          <w:rFonts w:cs="FrankRuehl" w:ascii="FrankRuehl" w:hAnsi="FrankRuehl"/>
          <w:color w:val="000000"/>
          <w:sz w:val="28"/>
          <w:szCs w:val="28"/>
        </w:rPr>
        <w:t>24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חודשי מאסר בפועל מיום מעצרו </w:t>
      </w:r>
      <w:r>
        <w:rPr>
          <w:rFonts w:cs="FrankRuehl" w:ascii="FrankRuehl" w:hAnsi="FrankRuehl"/>
          <w:color w:val="000000"/>
          <w:sz w:val="28"/>
          <w:szCs w:val="28"/>
        </w:rPr>
        <w:t>15.11.09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הנאשם ישא את המאסר במצטבר לכל מאסר שהוא נושא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start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eastAsia="FrankRuehl"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  <w:tab/>
      </w:r>
      <w:r>
        <w:rPr>
          <w:rFonts w:cs="FrankRuehl" w:ascii="FrankRuehl" w:hAnsi="FrankRuehl"/>
          <w:color w:val="000000"/>
          <w:sz w:val="28"/>
          <w:szCs w:val="28"/>
        </w:rPr>
        <w:t>12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חודשי מאסר על תנאי למשך שלוש שנים מיום שחרורו מהמאסר שלא יעבור עבירת נשק המסווגת כפשע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start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ג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  <w:tab/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קנס בסך </w:t>
      </w:r>
      <w:r>
        <w:rPr>
          <w:rFonts w:cs="FrankRuehl" w:ascii="FrankRuehl" w:hAnsi="FrankRuehl"/>
          <w:color w:val="000000"/>
          <w:sz w:val="28"/>
          <w:szCs w:val="28"/>
        </w:rPr>
        <w:t>15.000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₪.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הקנס ישולם ב </w:t>
      </w:r>
      <w:r>
        <w:rPr>
          <w:rFonts w:cs="FrankRuehl" w:ascii="FrankRuehl" w:hAnsi="FrankRuehl"/>
          <w:color w:val="000000"/>
          <w:sz w:val="28"/>
          <w:szCs w:val="28"/>
        </w:rPr>
        <w:t>10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תשלומים חודשיים שווים ורצופים שהראשון בהם ביום </w:t>
      </w:r>
      <w:r>
        <w:rPr>
          <w:rFonts w:cs="FrankRuehl" w:ascii="FrankRuehl" w:hAnsi="FrankRuehl"/>
          <w:color w:val="000000"/>
          <w:sz w:val="28"/>
          <w:szCs w:val="28"/>
        </w:rPr>
        <w:t>1.8.10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אם אחד התשלומים לא ישולם במועדו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תעמוד כל יתרת הקנס לפרעון מיידי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אם הקנס לא ישולם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יאסר הנאשם למשך </w:t>
      </w:r>
      <w:r>
        <w:rPr>
          <w:rFonts w:cs="FrankRuehl" w:ascii="FrankRuehl" w:hAnsi="FrankRuehl"/>
          <w:color w:val="000000"/>
          <w:sz w:val="28"/>
          <w:szCs w:val="28"/>
        </w:rPr>
        <w:t>90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יום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start"/>
        <w:rPr>
          <w:rFonts w:ascii="FrankRuehl" w:hAnsi="FrankRuehl" w:cs="FrankRuehl"/>
          <w:b/>
          <w:bCs/>
          <w:color w:val="000000"/>
          <w:sz w:val="28"/>
          <w:szCs w:val="28"/>
        </w:rPr>
      </w:pP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1440" w:end="0"/>
        <w:jc w:val="start"/>
        <w:rPr>
          <w:rFonts w:ascii="FrankRuehl" w:hAnsi="FrankRuehl" w:cs="FrankRuehl"/>
          <w:b/>
          <w:bCs/>
          <w:color w:val="000000"/>
          <w:sz w:val="28"/>
          <w:szCs w:val="28"/>
        </w:rPr>
      </w:pP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 xml:space="preserve">זכות ערעור תוך </w:t>
      </w:r>
      <w:r>
        <w:rPr>
          <w:rFonts w:cs="FrankRuehl" w:ascii="FrankRuehl" w:hAnsi="FrankRuehl"/>
          <w:b/>
          <w:bCs/>
          <w:color w:val="000000"/>
          <w:sz w:val="28"/>
          <w:szCs w:val="28"/>
        </w:rPr>
        <w:t>45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יום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FrankRuehl" w:hAnsi="FrankRuehl" w:cs="FrankRuehl"/>
          <w:b/>
          <w:bCs/>
          <w:color w:val="000000"/>
          <w:sz w:val="6"/>
          <w:szCs w:val="6"/>
        </w:rPr>
      </w:pPr>
      <w:r>
        <w:rPr>
          <w:rFonts w:cs="FrankRuehl" w:ascii="FrankRuehl" w:hAnsi="FrankRuehl"/>
          <w:b/>
          <w:bCs/>
          <w:color w:val="000000"/>
          <w:sz w:val="6"/>
          <w:szCs w:val="6"/>
          <w:rtl w:val="true"/>
        </w:rPr>
        <w:t>&lt;</w:t>
      </w:r>
      <w:r>
        <w:rPr>
          <w:rFonts w:cs="FrankRuehl" w:ascii="FrankRuehl" w:hAnsi="FrankRuehl"/>
          <w:b/>
          <w:bCs/>
          <w:color w:val="000000"/>
          <w:sz w:val="6"/>
          <w:szCs w:val="6"/>
        </w:rPr>
        <w:t>#4#</w:t>
      </w:r>
      <w:r>
        <w:rPr>
          <w:rFonts w:cs="FrankRuehl" w:ascii="FrankRuehl" w:hAnsi="FrankRuehl"/>
          <w:b/>
          <w:bCs/>
          <w:color w:val="000000"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rFonts w:ascii="FrankRuehl" w:hAnsi="FrankRuehl" w:cs="FrankRuehl"/>
          <w:b/>
          <w:bCs/>
          <w:color w:val="FFFFFF"/>
          <w:sz w:val="2"/>
          <w:szCs w:val="2"/>
        </w:rPr>
      </w:pPr>
      <w:r>
        <w:rPr>
          <w:rFonts w:cs="FrankRuehl" w:ascii="FrankRuehl" w:hAnsi="FrankRuehl"/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אליהו ביתן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ניתנה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והודעה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היום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א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סיון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תש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rFonts w:cs="FrankRuehl"/>
                <w:b/>
                <w:bCs/>
                <w:sz w:val="28"/>
                <w:szCs w:val="28"/>
              </w:rPr>
              <w:t>03/06/2010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במעמד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הנוכחים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.  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אליהו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ביתן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hanging="720" w:start="1440" w:end="0"/>
        <w:jc w:val="center"/>
        <w:rPr>
          <w:rFonts w:cs="FrankRuehl"/>
          <w:b/>
          <w:bCs/>
          <w:color w:val="000000"/>
          <w:sz w:val="28"/>
          <w:szCs w:val="28"/>
        </w:rPr>
      </w:pPr>
      <w:r>
        <w:rPr>
          <w:rFonts w:cs="FrankRuehl"/>
          <w:b/>
          <w:bCs/>
          <w:color w:val="000000"/>
          <w:sz w:val="28"/>
          <w:szCs w:val="28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זיוה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עובדיה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">
        <w:r>
          <w:rPr>
            <w:rStyle w:val="Hyperlink"/>
            <w:rtl w:val="true"/>
          </w:rPr>
          <w:t>הודעה למנויים על עריכה ושינויים במסמכי פסיקה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 xml:space="preserve">חקיקה ועוד באתר נבו </w:t>
        </w:r>
        <w:r>
          <w:rPr>
            <w:rStyle w:val="Hyperlink"/>
            <w:rtl w:val="true"/>
          </w:rPr>
          <w:t xml:space="preserve">- </w:t>
        </w:r>
        <w:r>
          <w:rPr>
            <w:rStyle w:val="Hyperlink"/>
            <w:rtl w:val="true"/>
          </w:rPr>
          <w:t>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"/>
      <w:footerReference w:type="default" r:id="rId6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/Users/liorb/Downloads/study2025-p2/ME-09-8284-649.doc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8284-09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>פרקליטות מחוז דרום</w:t>
    </w:r>
    <w:r>
      <w:rPr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פלילי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ע</w:t>
    </w:r>
    <w:r>
      <w:rPr>
        <w:color w:val="000000"/>
        <w:sz w:val="22"/>
        <w:szCs w:val="22"/>
        <w:rtl w:val="true"/>
      </w:rPr>
      <w:t>'</w:t>
    </w:r>
    <w:r>
      <w:rPr>
        <w:color w:val="000000"/>
        <w:sz w:val="22"/>
        <w:sz w:val="22"/>
        <w:szCs w:val="22"/>
        <w:rtl w:val="true"/>
      </w:rPr>
      <w:t xml:space="preserve">סאן אבו גויעד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עציר</w:t>
    </w:r>
    <w:r>
      <w:rPr>
        <w:color w:val="000000"/>
        <w:sz w:val="22"/>
        <w:szCs w:val="22"/>
        <w:rtl w:val="true"/>
      </w:rPr>
      <w:t>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sz w:val="2"/>
        <w:szCs w:val="24"/>
        <w:rFonts w:ascii="Times New Roman" w:hAnsi="Times New Roman" w:cs="Times New Roman"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Times New Roman" w:hAnsi="Times New Roman" w:cs="Times New Roman"/>
      <w:color w:val="000000"/>
      <w:sz w:val="2"/>
      <w:szCs w:val="24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inks/psika/?link=&#1506;&#1508;%204609/98" TargetMode="External"/><Relationship Id="rId4" Type="http://schemas.openxmlformats.org/officeDocument/2006/relationships/hyperlink" Target="http://www.nevo.co.il/advertisements/nevo-100.doc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2012-02-26T07:31:00Z</dcterms:created>
  <dc:creator> </dc:creator>
  <dc:description/>
  <cp:keywords/>
  <dc:language>en-IL</dc:language>
  <cp:lastModifiedBy>hofit</cp:lastModifiedBy>
  <dcterms:modified xsi:type="dcterms:W3CDTF">2012-02-26T07:31:00Z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פרקליטות מחוז דרום-פלילי</vt:lpwstr>
  </property>
  <property fmtid="{D5CDD505-2E9C-101B-9397-08002B2CF9AE}" pid="3" name="APPELLEE">
    <vt:lpwstr>ע'סאן אבו גויעד (עציר)</vt:lpwstr>
  </property>
  <property fmtid="{D5CDD505-2E9C-101B-9397-08002B2CF9AE}" pid="4" name="CITY">
    <vt:lpwstr>ב"ש</vt:lpwstr>
  </property>
  <property fmtid="{D5CDD505-2E9C-101B-9397-08002B2CF9AE}" pid="5" name="DATE">
    <vt:lpwstr>20100603</vt:lpwstr>
  </property>
  <property fmtid="{D5CDD505-2E9C-101B-9397-08002B2CF9AE}" pid="6" name="ISABSTRACT">
    <vt:lpwstr>Y</vt:lpwstr>
  </property>
  <property fmtid="{D5CDD505-2E9C-101B-9397-08002B2CF9AE}" pid="7" name="JUDGE">
    <vt:lpwstr>אליהו ביתן</vt:lpwstr>
  </property>
  <property fmtid="{D5CDD505-2E9C-101B-9397-08002B2CF9AE}" pid="8" name="LAWYER">
    <vt:lpwstr>שרה טל;שי ברגר</vt:lpwstr>
  </property>
  <property fmtid="{D5CDD505-2E9C-101B-9397-08002B2CF9AE}" pid="9" name="NEWPARTA">
    <vt:lpwstr>8284</vt:lpwstr>
  </property>
  <property fmtid="{D5CDD505-2E9C-101B-9397-08002B2CF9AE}" pid="10" name="NEWPARTB">
    <vt:lpwstr/>
  </property>
  <property fmtid="{D5CDD505-2E9C-101B-9397-08002B2CF9AE}" pid="11" name="NEWPARTC">
    <vt:lpwstr>09</vt:lpwstr>
  </property>
  <property fmtid="{D5CDD505-2E9C-101B-9397-08002B2CF9AE}" pid="12" name="NEWPROC">
    <vt:lpwstr>תפ</vt:lpwstr>
  </property>
  <property fmtid="{D5CDD505-2E9C-101B-9397-08002B2CF9AE}" pid="13" name="PROCNUM">
    <vt:lpwstr>8284</vt:lpwstr>
  </property>
  <property fmtid="{D5CDD505-2E9C-101B-9397-08002B2CF9AE}" pid="14" name="PROCYEAR">
    <vt:lpwstr>09</vt:lpwstr>
  </property>
  <property fmtid="{D5CDD505-2E9C-101B-9397-08002B2CF9AE}" pid="15" name="PSAKDIN">
    <vt:lpwstr>גזר-דין</vt:lpwstr>
  </property>
  <property fmtid="{D5CDD505-2E9C-101B-9397-08002B2CF9AE}" pid="16" name="RemarkFileName">
    <vt:lpwstr>mechozi me 09 8284 649 htm</vt:lpwstr>
  </property>
  <property fmtid="{D5CDD505-2E9C-101B-9397-08002B2CF9AE}" pid="17" name="TYPE">
    <vt:lpwstr>2</vt:lpwstr>
  </property>
  <property fmtid="{D5CDD505-2E9C-101B-9397-08002B2CF9AE}" pid="18" name="TYPE_ABS_DATE">
    <vt:lpwstr>390020100603</vt:lpwstr>
  </property>
  <property fmtid="{D5CDD505-2E9C-101B-9397-08002B2CF9AE}" pid="19" name="TYPE_N_DATE">
    <vt:lpwstr>39020100603</vt:lpwstr>
  </property>
  <property fmtid="{D5CDD505-2E9C-101B-9397-08002B2CF9AE}" pid="20" name="WORDNUMPAGES">
    <vt:lpwstr>3</vt:lpwstr>
  </property>
</Properties>
</file>