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8290-04-15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קשק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נידאל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קשק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- </w:t>
            </w:r>
            <w:r>
              <w:rPr>
                <w:rtl w:val="true"/>
              </w:rPr>
              <w:t>נדון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ראדי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אנטילי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טביק</w:t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tl w:val="true"/>
              </w:rPr>
              <w:t>סאלח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אלעסוי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קירשנברג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31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5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9" w:name="ABSTRACT_START"/>
      <w:bookmarkEnd w:id="9"/>
      <w:r>
        <w:rPr>
          <w:rFonts w:ascii="Calibri" w:hAnsi="Calibri" w:cs="Calibri"/>
          <w:u w:val="single"/>
          <w:rtl w:val="true"/>
        </w:rPr>
        <w:t>הנאשמים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"]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;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התשכ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1961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>"].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Arial"/>
          <w:sz w:val="22"/>
          <w:szCs w:val="22"/>
        </w:rPr>
      </w:pPr>
      <w:bookmarkStart w:id="10" w:name="ABSTRACT_END"/>
      <w:bookmarkEnd w:id="10"/>
      <w:r>
        <w:rPr>
          <w:rFonts w:cs="Calibri" w:ascii="Calibri" w:hAnsi="Calibri"/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19.7.10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22.7.10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נגנב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28.3.15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2:02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2:02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ומסוכנת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מתנגנת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מוזיקה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רועשת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שהפריע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שזהותם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להרעיש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הויכוח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בירכו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ייאמר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המשותפת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14.1.16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הקטן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תינוק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>.</w:t>
        <w:tab/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בתעבורה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התמודדותו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מיזער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לקונפליקט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אמפתיה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כלפיהם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והחריגות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ומדרבן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דימוי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להשתייכות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ולסביבתו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כבינונית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כשחומרתן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האימפולסיביים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שתמחיש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ומרתיע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במשחטת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המיועדת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נוקשים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ובהרחבת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יציאותיו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לבילוי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ליחסיו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לצרכיו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כשייתכן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ומשתמש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ומצומצמת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בסיפוק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בריסון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השתייכות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אקטיביים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וסמכותי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כחלופה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מטעם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2001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/ </w:t>
      </w:r>
      <w:r>
        <w:rPr>
          <w:rFonts w:ascii="Calibri" w:hAnsi="Calibri" w:cs="Calibri"/>
          <w:rtl w:val="true"/>
        </w:rPr>
        <w:t>אלכוהול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לגישתה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הדגישה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הזכירה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מסתברת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מנפילה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מנגל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הבהירה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וההימלטות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השותפות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המשותף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ציינה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ועתירת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המסייעים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למרשו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המבוססת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נימוק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הקונקרטיות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כמסייע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השתתפותו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מתנצל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חנינה</w:t>
      </w:r>
      <w:r>
        <w:rPr>
          <w:rFonts w:cs="Calibri" w:ascii="Calibri" w:hAnsi="Calibri"/>
          <w:rtl w:val="true"/>
        </w:rPr>
        <w:t xml:space="preserve">". 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ההכרעה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כמסייע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שהצהירה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הפרקליטות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בנהיגתו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מינורי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המודעות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נקודה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שותפים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דומיננטי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ומסוכנת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בנהיגתו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גרסאות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המתחייבת</w:t>
      </w:r>
      <w:r>
        <w:rPr>
          <w:rtl w:val="true"/>
        </w:rPr>
        <w:t xml:space="preserve">, </w:t>
      </w:r>
      <w:r>
        <w:rPr>
          <w:rtl w:val="true"/>
        </w:rPr>
        <w:t>ייאמר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המורשעים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התופעה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המציאות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בארץ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המתבטאת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בזמינותו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ורב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עוצמה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עימו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להסלמת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האלימות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העבריינית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מחייבת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שירתיע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באופן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ומשימוש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בפרט</w:t>
      </w:r>
      <w:r>
        <w:rPr>
          <w:rFonts w:cs="Calibri" w:ascii="Calibri" w:hAnsi="Calibri"/>
          <w:b/>
          <w:bCs/>
          <w:rtl w:val="true"/>
        </w:rPr>
        <w:t xml:space="preserve">..." </w:t>
      </w:r>
      <w:r>
        <w:rPr>
          <w:rFonts w:cs="Calibri" w:ascii="Calibri" w:hAnsi="Calibri"/>
          <w:rtl w:val="true"/>
        </w:rPr>
        <w:t>(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2918/13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דבס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18.7.13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בפיסקה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ומקרינים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הרלבנטיים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ובחינתם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בגזירת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להקפיד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דווקני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ותיתכנה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ראו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: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4463/12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ארנבורג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13.8.2012</w:t>
      </w:r>
      <w:r>
        <w:rPr>
          <w:rFonts w:cs="Calibri" w:ascii="Calibri" w:hAnsi="Calibri"/>
          <w:rtl w:val="true"/>
        </w:rPr>
        <w:t xml:space="preserve">];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4592/15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פדידה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8.2.2016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בסעיף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</w:t>
      </w:r>
      <w:r>
        <w:rPr>
          <w:rFonts w:cs="Calibri" w:ascii="Calibri" w:hAnsi="Calibri"/>
          <w:rtl w:val="true"/>
        </w:rPr>
        <w:t>').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מחצית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הנקודתי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בהינתן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המינורי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וירוצו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השפעה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איזון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בתעבורה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המינורי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מוטביציה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המינורית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פציעתו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ששקלתי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באשר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מטילה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28.3.15</w:t>
      </w:r>
      <w:r>
        <w:rPr>
          <w:rFonts w:cs="Calibri" w:ascii="Calibri" w:hAnsi="Calibri"/>
          <w:rtl w:val="true"/>
        </w:rPr>
        <w:t xml:space="preserve"> – </w:t>
      </w:r>
      <w:r>
        <w:rPr>
          <w:rFonts w:cs="Calibri" w:ascii="Calibri" w:hAnsi="Calibri"/>
        </w:rPr>
        <w:t>6.5.15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10.7.16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</w:t>
      </w:r>
      <w:r>
        <w:rPr>
          <w:rtl w:val="true"/>
        </w:rPr>
        <w:t xml:space="preserve">, </w:t>
      </w:r>
      <w:r>
        <w:rPr/>
        <w:t>10.6.16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התייצבות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העורבויות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הכספיות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יוחזרו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לסניגור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בהסכמת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lang w:val="en-IL" w:eastAsia="en-IL"/>
        </w:rPr>
      </w:pPr>
      <w:r>
        <w:rPr>
          <w:rFonts w:cs="Calibri" w:ascii="Calibri" w:hAnsi="Calibri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באשר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3</w:t>
      </w:r>
      <w:r>
        <w:rPr>
          <w:rFonts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Fonts w:ascii="Symbol" w:hAnsi="Symbol" w:cs="Symbol"/>
          <w:rtl w:val="true"/>
        </w:rPr>
        <w:sym w:font="Symbol" w:char="5de"/>
        <w:sym w:font="Symbol" w:char="5d8"/>
        <w:sym w:font="Symbol" w:char="5d9"/>
        <w:sym w:font="Symbol" w:char="5dc"/>
        <w:sym w:font="Symbol" w:char="5d4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2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0"/>
        <w:sym w:font="Symbol" w:char="5d0"/>
        <w:sym w:font="Symbol" w:char="5e9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2"/>
        <w:sym w:font="Symbol" w:char="5d5"/>
        <w:sym w:font="Symbol" w:char="5e0"/>
        <w:sym w:font="Symbol" w:char="5e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cs="Symbol" w:ascii="Symbol" w:hAnsi="Symbol"/>
        </w:rPr>
        <w:sym w:font="Symbol" w:char="36"/>
      </w:r>
      <w:r>
        <w:rPr>
          <w:rFonts w:cs="Symbol" w:ascii="Symbol" w:hAnsi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7"/>
        <w:sym w:font="Symbol" w:char="5d5"/>
        <w:sym w:font="Symbol" w:char="5d3"/>
        <w:sym w:font="Symbol" w:char="5e9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d0"/>
        <w:sym w:font="Symbol" w:char="5e1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e9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9"/>
        <w:sym w:font="Symbol" w:char="5e8"/>
        <w:sym w:font="Symbol" w:char="5d5"/>
        <w:sym w:font="Symbol" w:char="5e6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3"/>
        <w:sym w:font="Symbol" w:char="5e8"/>
        <w:sym w:font="Symbol" w:char="5d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2"/>
        <w:sym w:font="Symbol" w:char="5d1"/>
        <w:sym w:font="Symbol" w:char="5d5"/>
        <w:sym w:font="Symbol" w:char="5d3"/>
        <w:sym w:font="Symbol" w:char="5d5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9"/>
        <w:sym w:font="Symbol" w:char="5d9"/>
        <w:sym w:font="Symbol" w:char="5e8"/>
        <w:sym w:font="Symbol" w:char="5d5"/>
        <w:sym w:font="Symbol" w:char="5ea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e0"/>
        <w:sym w:font="Symbol" w:char="5d9"/>
        <w:sym w:font="Symbol" w:char="5db"/>
        <w:sym w:font="Symbol" w:char="5d5"/>
        <w:sym w:font="Symbol" w:char="5d9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a"/>
        <w:sym w:font="Symbol" w:char="5e7"/>
        <w:sym w:font="Symbol" w:char="5d5"/>
        <w:sym w:font="Symbol" w:char="5e4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e2"/>
        <w:sym w:font="Symbol" w:char="5e6"/>
        <w:sym w:font="Symbol" w:char="5e8"/>
        <w:sym w:font="Symbol" w:char="5d5"/>
      </w:r>
      <w:r>
        <w:rPr>
          <w:rFonts w:cs="Symbol" w:ascii="Symbol" w:hAnsi="Symbol"/>
          <w:rtl w:val="true"/>
        </w:rPr>
        <w:sym w:font="Symbol" w:char="3a"/>
        <w:sym w:font="Symbol" w:char="20"/>
      </w:r>
      <w:r>
        <w:rPr>
          <w:rFonts w:cs="Symbol" w:ascii="Symbol" w:hAnsi="Symbol"/>
        </w:rPr>
        <w:sym w:font="Symbol" w:char="32"/>
        <w:sym w:font="Symbol" w:char="38"/>
        <w:sym w:font="Symbol" w:char="2e"/>
        <w:sym w:font="Symbol" w:char="33"/>
        <w:sym w:font="Symbol" w:char="2e"/>
        <w:sym w:font="Symbol" w:char="31"/>
        <w:sym w:font="Symbol" w:char="35"/>
      </w:r>
      <w:r>
        <w:rPr>
          <w:rFonts w:cs="Symbol" w:ascii="Symbol" w:hAnsi="Symbol"/>
          <w:rtl w:val="true"/>
        </w:rPr>
        <w:sym w:font="Symbol" w:char="20"/>
      </w:r>
      <w:r>
        <w:rPr>
          <w:rFonts w:cs="Symbol" w:ascii="Symbol" w:hAnsi="Symbol"/>
          <w:rtl w:val="true"/>
        </w:rPr>
        <w:sym w:font="Symbol" w:char="2d"/>
      </w:r>
      <w:r>
        <w:rPr>
          <w:rFonts w:cs="Symbol" w:ascii="Symbol" w:hAnsi="Symbol"/>
          <w:rtl w:val="true"/>
        </w:rPr>
        <w:sym w:font="Symbol" w:char="20"/>
      </w:r>
      <w:r>
        <w:rPr>
          <w:rFonts w:cs="Symbol" w:ascii="Symbol" w:hAnsi="Symbol"/>
        </w:rPr>
        <w:sym w:font="Symbol" w:char="36"/>
        <w:sym w:font="Symbol" w:char="2e"/>
        <w:sym w:font="Symbol" w:char="35"/>
        <w:sym w:font="Symbol" w:char="2e"/>
        <w:sym w:font="Symbol" w:char="31"/>
        <w:sym w:font="Symbol" w:char="35"/>
      </w:r>
      <w:r>
        <w:rPr>
          <w:rFonts w:cs="Symbol" w:ascii="Symbol" w:hAnsi="Symbol"/>
          <w:rtl w:val="true"/>
        </w:rPr>
        <w:sym w:font="Symbol" w:char="2e"/>
        <w:sym w:font="Symbol" w:char="20"/>
      </w:r>
      <w:r>
        <w:rPr>
          <w:rFonts w:ascii="Symbol" w:hAnsi="Symbol" w:cs="Symbol"/>
          <w:rtl w:val="true"/>
        </w:rPr>
        <w:sym w:font="Symbol" w:char="5e2"/>
        <w:sym w:font="Symbol" w:char="5d1"/>
        <w:sym w:font="Symbol" w:char="5d5"/>
        <w:sym w:font="Symbol" w:char="5d3"/>
        <w:sym w:font="Symbol" w:char="5d5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9"/>
        <w:sym w:font="Symbol" w:char="5d9"/>
        <w:sym w:font="Symbol" w:char="5e8"/>
        <w:sym w:font="Symbol" w:char="5d5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9"/>
        <w:sym w:font="Symbol" w:char="5d1"/>
        <w:sym w:font="Symbol" w:char="5d5"/>
        <w:sym w:font="Symbol" w:char="5e6"/>
        <w:sym w:font="Symbol" w:char="5e2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e"/>
        <w:sym w:font="Symbol" w:char="5e4"/>
        <w:sym w:font="Symbol" w:char="5e2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7"/>
        <w:sym w:font="Symbol" w:char="5e1"/>
        <w:sym w:font="Symbol" w:char="5d3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9"/>
        <w:sym w:font="Symbol" w:char="5d3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9"/>
        <w:sym w:font="Symbol" w:char="5d3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c"/>
        <w:sym w:font="Symbol" w:char="5d5"/>
        <w:sym w:font="Symbol" w:char="5d3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1"/>
        <w:sym w:font="Symbol" w:char="5db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e"/>
        <w:sym w:font="Symbol" w:char="5e7"/>
        <w:sym w:font="Symbol" w:char="5d5"/>
        <w:sym w:font="Symbol" w:char="5dd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0"/>
        <w:sym w:font="Symbol" w:char="5d7"/>
        <w:sym w:font="Symbol" w:char="5e8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2"/>
        <w:sym w:font="Symbol" w:char="5dc"/>
        <w:sym w:font="Symbol" w:char="5d9"/>
        <w:sym w:font="Symbol" w:char="5d5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9"/>
        <w:sym w:font="Symbol" w:char="5d5"/>
        <w:sym w:font="Symbol" w:char="5e8"/>
        <w:sym w:font="Symbol" w:char="5d4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de"/>
        <w:sym w:font="Symbol" w:char="5de"/>
        <w:sym w:font="Symbol" w:char="5d5"/>
        <w:sym w:font="Symbol" w:char="5e0"/>
        <w:sym w:font="Symbol" w:char="5d4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2"/>
        <w:sym w:font="Symbol" w:char="5dc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e2"/>
        <w:sym w:font="Symbol" w:char="5d1"/>
        <w:sym w:font="Symbol" w:char="5d5"/>
        <w:sym w:font="Symbol" w:char="5d3"/>
        <w:sym w:font="Symbol" w:char="5d5"/>
        <w:sym w:font="Symbol" w:char="5ea"/>
      </w:r>
      <w:r>
        <w:rPr>
          <w:rFonts w:ascii="Symbol" w:hAnsi="Symbol" w:cs="Symbol"/>
          <w:rtl w:val="true"/>
        </w:rPr>
        <w:sym w:font="Symbol" w:char="20"/>
      </w:r>
      <w:r>
        <w:rPr>
          <w:rFonts w:ascii="Symbol" w:hAnsi="Symbol" w:cs="Symbol"/>
          <w:rtl w:val="true"/>
        </w:rPr>
        <w:sym w:font="Symbol" w:char="5d4"/>
        <w:sym w:font="Symbol" w:char="5e9"/>
        <w:sym w:font="Symbol" w:char="5d9"/>
        <w:sym w:font="Symbol" w:char="5e8"/>
        <w:sym w:font="Symbol" w:char="5d5"/>
        <w:sym w:font="Symbol" w:char="5ea"/>
      </w:r>
      <w:r>
        <w:rPr>
          <w:rFonts w:cs="Symbol" w:ascii="Symbol" w:hAnsi="Symbol"/>
          <w:rtl w:val="true"/>
        </w:rPr>
        <w:sym w:font="Symbol" w:char="2c"/>
        <w:sym w:font="Symbol" w:char="20"/>
      </w:r>
      <w:r>
        <w:rPr>
          <w:rFonts w:ascii="Calibri" w:hAnsi="Calibri" w:cs="Calibri"/>
          <w:rtl w:val="true"/>
        </w:rPr>
        <w:t>בימים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המפורטים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בחוות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10.5.16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17.7.16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במפקדת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ברמלה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מובהר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הפיקוח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ובביקורות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הפתע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567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/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הערובות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ימשיכו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התייצבות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567" w:end="0"/>
        <w:jc w:val="both"/>
        <w:rPr/>
      </w:pPr>
      <w:r>
        <w:rPr>
          <w:rFonts w:ascii="Calibri" w:hAnsi="Calibri" w:cs="Calibri"/>
          <w:u w:val="single"/>
          <w:rtl w:val="true"/>
        </w:rPr>
        <w:t>הודעה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זכות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ערעור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לבית</w:t>
      </w:r>
      <w:r>
        <w:rPr>
          <w:rFonts w:cs="Calibri" w:ascii="Calibri" w:hAnsi="Calibri"/>
          <w:u w:val="single"/>
          <w:rtl w:val="true"/>
        </w:rPr>
        <w:t>-</w:t>
      </w:r>
      <w:r>
        <w:rPr>
          <w:rFonts w:ascii="Calibri" w:hAnsi="Calibri" w:cs="Calibri"/>
          <w:u w:val="single"/>
          <w:rtl w:val="true"/>
        </w:rPr>
        <w:t>המשפט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העליון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בתוך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cs="Calibri" w:ascii="Calibri" w:hAnsi="Calibri"/>
          <w:u w:val="single"/>
        </w:rPr>
        <w:t>45</w:t>
      </w:r>
      <w:r>
        <w:rPr>
          <w:rFonts w:cs="Calibri" w:ascii="Calibri" w:hAnsi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יום</w:t>
      </w:r>
      <w:r>
        <w:rPr>
          <w:rFonts w:cs="Calibri" w:ascii="Calibri" w:hAnsi="Calibri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8290-04-15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נידאל אבו קשק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law/5227/62.2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5227/62.2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6950458" TargetMode="External"/><Relationship Id="rId15" Type="http://schemas.openxmlformats.org/officeDocument/2006/relationships/hyperlink" Target="http://www.nevo.co.il/case/5587527" TargetMode="External"/><Relationship Id="rId16" Type="http://schemas.openxmlformats.org/officeDocument/2006/relationships/hyperlink" Target="http://www.nevo.co.il/case/20412551" TargetMode="External"/><Relationship Id="rId17" Type="http://schemas.openxmlformats.org/officeDocument/2006/relationships/hyperlink" Target="http://www.nevo.co.il/law/5227/62.2" TargetMode="External"/><Relationship Id="rId18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2017-01-10T13:51:00Z</dcterms:created>
  <dc:creator> </dc:creator>
  <dc:description/>
  <cp:keywords/>
  <dc:language>en-IL</dc:language>
  <cp:lastModifiedBy>Tali-a</cp:lastModifiedBy>
  <dcterms:modified xsi:type="dcterms:W3CDTF">2017-01-10T13:51:00Z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פמ#מ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נידאל אבו קשק  ;ראדי אנטילי;סאלח אלעסוי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6950458;5587527;20412551</vt:lpwstr>
  </property>
  <property fmtid="{D5CDD505-2E9C-101B-9397-08002B2CF9AE}" pid="9" name="CITY">
    <vt:lpwstr>מרכז</vt:lpwstr>
  </property>
  <property fmtid="{D5CDD505-2E9C-101B-9397-08002B2CF9AE}" pid="10" name="DATE">
    <vt:lpwstr>20160609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70301/144.b:2;031</vt:lpwstr>
  </property>
  <property fmtid="{D5CDD505-2E9C-101B-9397-08002B2CF9AE}" pid="15" name="LAWLISTTMP2">
    <vt:lpwstr>5227/062.2:2</vt:lpwstr>
  </property>
  <property fmtid="{D5CDD505-2E9C-101B-9397-08002B2CF9AE}" pid="16" name="LAWYER">
    <vt:lpwstr>פאר;אבו טביק;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8290</vt:lpwstr>
  </property>
  <property fmtid="{D5CDD505-2E9C-101B-9397-08002B2CF9AE}" pid="23" name="NEWPARTB">
    <vt:lpwstr>04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390020160609</vt:lpwstr>
  </property>
  <property fmtid="{D5CDD505-2E9C-101B-9397-08002B2CF9AE}" pid="35" name="TYPE_N_DATE">
    <vt:lpwstr>39020160609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