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5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2"/>
        <w:gridCol w:w="1136"/>
        <w:gridCol w:w="3888"/>
      </w:tblGrid>
      <w:tr>
        <w:trPr>
          <w:trHeight w:val="418" w:hRule="exact"/>
        </w:trPr>
        <w:tc>
          <w:tcPr>
            <w:tcW w:w="8956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bidi w:val="0"/>
              <w:jc w:val="center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39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בית המשפט המחוזי בבאר שבע</w:t>
            </w:r>
          </w:p>
        </w:tc>
        <w:tc>
          <w:tcPr>
            <w:tcW w:w="113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8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8314-09</w:t>
            </w:r>
          </w:p>
        </w:tc>
      </w:tr>
      <w:tr>
        <w:trPr>
          <w:trHeight w:val="337" w:hRule="atLeast"/>
        </w:trPr>
        <w:tc>
          <w:tcPr>
            <w:tcW w:w="39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טלי חיימוביץ</w:t>
            </w:r>
          </w:p>
        </w:tc>
        <w:tc>
          <w:tcPr>
            <w:tcW w:w="1136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28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0"/>
        <w:gridCol w:w="1448"/>
        <w:gridCol w:w="1448"/>
        <w:gridCol w:w="1448"/>
        <w:gridCol w:w="1448"/>
        <w:gridCol w:w="1319"/>
        <w:gridCol w:w="1319"/>
      </w:tblGrid>
      <w:tr>
        <w:trPr>
          <w:trHeight w:val="337" w:hRule="atLeast"/>
        </w:trPr>
        <w:tc>
          <w:tcPr>
            <w:tcW w:w="290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44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22424/09</w:t>
            </w:r>
          </w:p>
        </w:tc>
        <w:tc>
          <w:tcPr>
            <w:tcW w:w="144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22470/09</w:t>
            </w:r>
          </w:p>
        </w:tc>
        <w:tc>
          <w:tcPr>
            <w:tcW w:w="144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22473/09</w:t>
            </w:r>
          </w:p>
        </w:tc>
        <w:tc>
          <w:tcPr>
            <w:tcW w:w="144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20021/10</w:t>
            </w:r>
          </w:p>
        </w:tc>
        <w:tc>
          <w:tcPr>
            <w:tcW w:w="1319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5438/09</w:t>
            </w:r>
          </w:p>
        </w:tc>
        <w:tc>
          <w:tcPr>
            <w:tcW w:w="1319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5531/09</w:t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06" w:type="dxa"/>
        <w:jc w:val="start"/>
        <w:tblInd w:w="15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328"/>
        <w:gridCol w:w="3633"/>
        <w:gridCol w:w="2269"/>
      </w:tblGrid>
      <w:tr>
        <w:trPr/>
        <w:tc>
          <w:tcPr>
            <w:tcW w:w="1276" w:type="dxa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4961" w:type="dxa"/>
            <w:gridSpan w:val="2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 xml:space="preserve">מדינת ישראל </w:t>
            </w:r>
          </w:p>
        </w:tc>
        <w:tc>
          <w:tcPr>
            <w:tcW w:w="2269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328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3633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2269" w:type="dxa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4961" w:type="dxa"/>
            <w:gridSpan w:val="2"/>
            <w:tcBorders/>
          </w:tcPr>
          <w:p>
            <w:pPr>
              <w:pStyle w:val="Style14"/>
              <w:spacing w:lineRule="auto" w:line="240"/>
              <w:ind w:end="0"/>
              <w:jc w:val="center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נ  ג  ד</w:t>
            </w:r>
          </w:p>
        </w:tc>
        <w:tc>
          <w:tcPr>
            <w:tcW w:w="2269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96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אנואר אבו מדיעם</w:t>
            </w:r>
          </w:p>
        </w:tc>
        <w:tc>
          <w:tcPr>
            <w:tcW w:w="2269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328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3633" w:type="dxa"/>
            <w:tcBorders/>
          </w:tcPr>
          <w:p>
            <w:pPr>
              <w:pStyle w:val="Style14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2269" w:type="dxa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הנאשם</w:t>
            </w:r>
          </w:p>
        </w:tc>
      </w:tr>
    </w:tbl>
    <w:p>
      <w:pPr>
        <w:pStyle w:val="Style14"/>
        <w:spacing w:lineRule="auto" w:line="240"/>
        <w:ind w:end="0"/>
        <w:jc w:val="both"/>
        <w:rPr>
          <w:rFonts w:ascii="Arial" w:hAnsi="Arial" w:cs="Arial"/>
          <w:b w:val="false"/>
          <w:bCs w:val="false"/>
          <w:sz w:val="24"/>
          <w:lang w:eastAsia="en-US"/>
        </w:rPr>
      </w:pPr>
      <w:r>
        <w:rPr>
          <w:rFonts w:cs="Arial" w:ascii="Arial" w:hAnsi="Arial"/>
          <w:b w:val="false"/>
          <w:bCs w:val="false"/>
          <w:sz w:val="24"/>
          <w:rtl w:val="true"/>
          <w:lang w:eastAsia="en-US"/>
        </w:rPr>
      </w:r>
    </w:p>
    <w:tbl>
      <w:tblPr>
        <w:bidiVisual w:val="true"/>
        <w:tblW w:w="8556" w:type="dxa"/>
        <w:jc w:val="start"/>
        <w:tblInd w:w="19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26"/>
        <w:gridCol w:w="7230"/>
      </w:tblGrid>
      <w:tr>
        <w:trPr/>
        <w:tc>
          <w:tcPr>
            <w:tcW w:w="1326" w:type="dxa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9" w:name="FirstLawyer"/>
            <w:bookmarkEnd w:id="9"/>
            <w:r>
              <w:rPr>
                <w:rFonts w:ascii="Arial" w:hAnsi="Arial" w:cs="Arial"/>
                <w:sz w:val="24"/>
                <w:sz w:val="24"/>
                <w:rtl w:val="true"/>
              </w:rPr>
              <w:t>נוכחים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b w:val="false"/>
                <w:bCs w:val="false"/>
                <w:sz w:val="24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rFonts w:cs="Arial" w:ascii="Arial" w:hAnsi="Arial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" w:hAnsi="Arial" w:cs="Arial"/>
                <w:b w:val="false"/>
                <w:b w:val="false"/>
                <w:bCs w:val="false"/>
                <w:sz w:val="24"/>
                <w:sz w:val="24"/>
                <w:rtl w:val="true"/>
              </w:rPr>
              <w:t>כ המאשימה עו</w:t>
            </w:r>
            <w:r>
              <w:rPr>
                <w:rFonts w:cs="Arial" w:ascii="Arial" w:hAnsi="Arial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" w:hAnsi="Arial" w:cs="Arial"/>
                <w:b w:val="false"/>
                <w:b w:val="false"/>
                <w:bCs w:val="false"/>
                <w:sz w:val="24"/>
                <w:sz w:val="24"/>
                <w:rtl w:val="true"/>
              </w:rPr>
              <w:t>ד שרית שמש</w:t>
            </w:r>
          </w:p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b w:val="false"/>
                <w:bCs w:val="false"/>
                <w:sz w:val="24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sz w:val="24"/>
                <w:sz w:val="24"/>
                <w:rtl w:val="true"/>
              </w:rPr>
              <w:t>הנאשם וב</w:t>
            </w:r>
            <w:r>
              <w:rPr>
                <w:rFonts w:cs="Arial" w:ascii="Arial" w:hAnsi="Arial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" w:hAnsi="Arial" w:cs="Arial"/>
                <w:b w:val="false"/>
                <w:b w:val="false"/>
                <w:bCs w:val="false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" w:hAnsi="Arial" w:cs="Arial"/>
                <w:b w:val="false"/>
                <w:b w:val="false"/>
                <w:bCs w:val="false"/>
                <w:sz w:val="24"/>
                <w:sz w:val="24"/>
                <w:rtl w:val="true"/>
              </w:rPr>
              <w:t>ד אלעטאוונה</w:t>
            </w:r>
          </w:p>
        </w:tc>
      </w:tr>
    </w:tbl>
    <w:p>
      <w:pPr>
        <w:pStyle w:val="Style14"/>
        <w:spacing w:lineRule="auto" w:line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24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#2#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4" w:name="PsakDin"/>
      <w:bookmarkStart w:id="15" w:name="ABSTRACT_START"/>
      <w:bookmarkEnd w:id="14"/>
      <w:bookmarkEnd w:id="15"/>
      <w:r>
        <w:rPr>
          <w:rFonts w:ascii="Arial" w:hAnsi="Arial" w:cs="Arial"/>
          <w:rtl w:val="true"/>
        </w:rPr>
        <w:t>הנאשם 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חבלה חמורה בנסיבות מחמירות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עבירות בנשק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וירי באזור מגורים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6" w:name="ABSTRACT_END"/>
      <w:bookmarkEnd w:id="16"/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4.12.09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כינוס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התקרב הנאשם  למתלונן עמד מולו במרחק של כמטר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אקדח אותו החזיק ללא רישיון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וירה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יריות לכיוונו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נפגע המתלונן מכדור בשוקו ונזקק לאשפוז בבית 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לא בא בהמלצה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מתסקירי שירות המבחן עולה כי מדובר באדם המנהל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בתחום החקלאות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לשני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בוגר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בסיומן נאלץ לצאת לעבוד ולפרנס את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לנאשם יכולות קוגניטיביות תקינות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נוטה להציג עצמו באופן חיובי ועושה מאמצים לנהל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מייחס חשיבות לשמירה על ערכי המשפחה והמסורת הבדואית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ובמצבים של פגיעה בכבודו עשוי לפעול באופן אימפולסיבי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לעבירה נשוא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מודה בביצועה ומקבל עליה אחריות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מסביר את האירוע בהתנהגות המתלונן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אחי אביו מאשת סבו הנוספת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נהג לקלל את הנאשם וללגלג עליו ועל 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נישואי הסב לשתי 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וחלוקת המשאבים בין המשפחות באופן בלתי הוגן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הנאשם מתקשה לגלות אמפטיה לקורבן ואינו בוחן לעומק את חומרת מעשיו והשלכותיהם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הצהרותיו בדבר רצונו במסגרת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חיצוניות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מטעם זה לא בא שירות המבחן בהמלצה טיפולית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נאמר בתסקיר כי טרם הושגה סולחה בין המעורבים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עותרת להחמיר בעונשו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ולהביא בחשבון כי התקיפה בוצעה ללא התגרות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הערכת שירות המבחן באשר לקושי של הנאשם לקבל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ועמדתו ביחס אליהם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טענה למסוכנות של הנאשם הנלמדת הן מעצם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מההתייחסות  אל מעשים מעין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עתרה להשית על הנאשם עונש שלא יפחת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 עתר להשית על הנאשם עונש מאסר שירוצה בעבודות שירות וכן הודיע על נכונותו של הנאשם לפצות את המתלונן בסכום נכבד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לשקול לקולא את עברו הנקי ואורח חייו הנורמטיבי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הפנה לפסיקה מגוונת העוסקת בנסיבות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פציעה באמצעות נשק על ידי אדם חסר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הקל בית המשפט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נסיבותיו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שיקום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מדובר במעידה חד פעמית על רקע קנטור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העדרה של סולחה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מוכן לפצות את המתלונן בסכום נכבד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עומד לעזוב את מקום מגוריו ולעבור להתגורר בצפון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זאת יש לשקול במסגרת השיקולים לקולא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בפציעה שטחית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מקום הפציעה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 על כך שלא היתה כוונה לגרום נזק חמור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שקלתי לקולא את עברו הנקי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אורח חייו הנורמטיבי ואת הודייתו המהירה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והחיסכון בזמן השיפוטי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שקלתי את הנזק המצומצם יחסית שנגרם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ומקום הנזק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לחומרה הבאתי בחשבון את נסיבות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במהלכה של שמחה משפחתית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 עם ועדה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וללא מורא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הנאשם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באדם מטווח 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אניח שהמתלונן אמר דברים אשר לא נעמו לאוזני הנאשם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הגם שעניין זה לא הוכח אני מוכנה להניח כי דבר מה הניע את הנאשם לירות בדודו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אין זה גורע מחומרת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המעשה מלמד על כך שלנאשם אין מעצורים ואין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נפגעים רגשותיו הוא הופך לאדם מסוכן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נקבע בפסיקה כי עם החמרת האלימות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להשית עונשים ראויים שישקפו ערכים של תגמול והרתעה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במקרים בהם נעשה שימוש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רק עניינם של המערערים ניצב לנגד עינינו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אלא בעיקר הצורך להדביר את תופעת האלימות שקנתה לה אחיזה בחברה בישראל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ומטרה זו תושג על ידי פסיקה אשר תבהיר לכל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כי מי שנוהג באלימות עלול לשלם על כך באבדן חירותו לזמן ממושך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מסר זה כבר יצא מבתי המשפט לא אחת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ובפסקי</w:t>
      </w:r>
      <w:r>
        <w:rPr>
          <w:rFonts w:cs="Arial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דין רבים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אולם העובדה כי העבריינות בתחום זה נמשכת ואף מסלימה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מחייבת לשוב ולשנן אותו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ומקום שהדבר מתחייב אף להחמיר בענישה</w:t>
      </w:r>
      <w:r>
        <w:rPr>
          <w:rFonts w:cs="Arial" w:ascii="Arial" w:hAnsi="Arial"/>
          <w:b/>
          <w:bCs/>
          <w:sz w:val="24"/>
          <w:szCs w:val="24"/>
          <w:rtl w:val="true"/>
        </w:rPr>
        <w:t>."</w:t>
      </w:r>
      <w:r>
        <w:rPr>
          <w:rFonts w:ascii="Arial" w:hAnsi="Arial" w:cs="Arial"/>
          <w:b/>
          <w:b/>
          <w:bCs/>
          <w:color w:val="FFFFFF"/>
          <w:sz w:val="24"/>
          <w:sz w:val="24"/>
          <w:szCs w:val="24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8040/04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עבודי נ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)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הענישה לשקף 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ולהרתיע את היחיד והרבים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בנסיבותיו האישיות של הנאשם אשר פורטו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 אני גוזרת על הנאשם את העונשים הבאים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ממנו תנוכה תקופת המעצר בין התאריכים </w:t>
      </w:r>
      <w:r>
        <w:rPr>
          <w:rFonts w:cs="Arial" w:ascii="Arial" w:hAnsi="Arial"/>
        </w:rPr>
        <w:t>9.12.09-9.6.10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תוך שלוש שנים מיום שחרורו מהמאסר עבירה בה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כל עבירת אלימות שהיא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יפצה את המתלונן בסך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Style14"/>
        <w:spacing w:lineRule="auto" w:line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 לבית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</w:t>
      </w:r>
      <w:r>
        <w:rPr>
          <w:rFonts w:ascii="Arial" w:hAnsi="Arial" w:cs="Arial"/>
          <w:b/>
          <w:b/>
          <w:bCs/>
          <w:rtl w:val="true"/>
        </w:rPr>
        <w:t>ן</w:t>
      </w:r>
      <w:r>
        <w:rPr>
          <w:rFonts w:ascii="Arial" w:hAnsi="Arial" w:cs="Arial"/>
          <w:b/>
          <w:b/>
          <w:bCs/>
          <w:rtl w:val="true"/>
        </w:rPr>
        <w:t xml:space="preserve"> והודע היום 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סיון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28/06/2011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טלי חיימוביץ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Style14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#7#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>אכן אין מקום לעכב את הביצוע מאחר ומדובר בעונש מאסר שהוא ארוך יחסית ובהכרעת דין שניתנה על סמך הודית נאשם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>מכל מקום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מאחר והנאשם משוחרר מזה תקופה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תינתן לו שהות מה בטרם יתחיל את ריצוי המאסר לצורך התארגנות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</w:p>
    <w:p>
      <w:pPr>
        <w:pStyle w:val="Style14"/>
        <w:spacing w:lineRule="auto" w:line="24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הנאשם יתייצב לריצוי מאסרו בתאריך </w:t>
      </w:r>
      <w:r>
        <w:rPr>
          <w:rFonts w:cs="Arial" w:ascii="Arial" w:hAnsi="Arial"/>
          <w:b w:val="false"/>
          <w:bCs w:val="false"/>
        </w:rPr>
        <w:t>17.7.11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בשעה </w:t>
      </w:r>
      <w:r>
        <w:rPr>
          <w:rFonts w:cs="Arial" w:ascii="Arial" w:hAnsi="Arial"/>
          <w:b w:val="false"/>
          <w:bCs w:val="false"/>
        </w:rPr>
        <w:t>08:00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במחוז דרום של שב</w:t>
      </w:r>
      <w:r>
        <w:rPr>
          <w:rFonts w:cs="Arial" w:ascii="Arial" w:hAnsi="Arial"/>
          <w:b w:val="false"/>
          <w:bCs w:val="fals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rtl w:val="true"/>
        </w:rPr>
        <w:t>ס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>הערבויות שהפקיד הנאשם לצורך שחרורו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ישמשו להבטחת התייצבותו למאסר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בהסכמת הצדדים אני מורה כי הסך של </w:t>
      </w:r>
      <w:r>
        <w:rPr>
          <w:rFonts w:cs="Arial" w:ascii="Arial" w:hAnsi="Arial"/>
          <w:b w:val="false"/>
          <w:bCs w:val="false"/>
        </w:rPr>
        <w:t>15,000</w:t>
      </w:r>
      <w:r>
        <w:rPr>
          <w:rFonts w:cs="Arial" w:ascii="Arial" w:hAnsi="Arial"/>
          <w:b w:val="false"/>
          <w:bCs w:val="false"/>
          <w:rtl w:val="true"/>
        </w:rPr>
        <w:t xml:space="preserve"> ₪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שהופקד על ידי הנאשם במסגרת תיק </w:t>
      </w:r>
      <w:hyperlink r:id="rId13">
        <w:r>
          <w:rPr>
            <w:rStyle w:val="Hyperlink"/>
            <w:rFonts w:ascii="Arial" w:hAnsi="Arial" w:cs="Arial"/>
            <w:b/>
            <w:b/>
            <w:bCs/>
            <w:rtl w:val="true"/>
          </w:rPr>
          <w:t>מ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ת </w:t>
        </w:r>
        <w:r>
          <w:rPr>
            <w:rStyle w:val="Hyperlink"/>
            <w:rFonts w:cs="Arial" w:ascii="Arial" w:hAnsi="Arial"/>
            <w:b/>
            <w:bCs/>
          </w:rPr>
          <w:t>22424/09</w:t>
        </w:r>
      </w:hyperlink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לצורך הבטחת שחרורו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יועבר לאחר שגזר הדין יהיה חלוט והנאשם יתייצב לריצוי מאסרו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על חשבון הפיצוי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  <w:color w:val="FFFFFF"/>
          <w:sz w:val="2"/>
          <w:szCs w:val="2"/>
        </w:rPr>
      </w:pPr>
      <w:r>
        <w:rPr>
          <w:rFonts w:cs="Arial" w:ascii="Arial" w:hAnsi="Arial"/>
          <w:b w:val="false"/>
          <w:bCs w:val="false"/>
          <w:color w:val="FFFFFF"/>
          <w:sz w:val="2"/>
          <w:szCs w:val="2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Style14"/>
        <w:keepNext w:val="true"/>
        <w:suppressLineNumbers w:val="0"/>
        <w:ind w:end="0"/>
        <w:jc w:val="start"/>
        <w:rPr>
          <w:rFonts w:ascii="David" w:hAnsi="David" w:cs="David"/>
          <w:b w:val="false"/>
          <w:bCs w:val="false"/>
          <w:color w:val="000000"/>
          <w:sz w:val="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"/>
          <w:szCs w:val="22"/>
          <w:rtl w:val="true"/>
        </w:rPr>
      </w:r>
    </w:p>
    <w:p>
      <w:pPr>
        <w:pStyle w:val="Style14"/>
        <w:keepNext w:val="true"/>
        <w:suppressLineNumbers w:val="0"/>
        <w:ind w:end="0"/>
        <w:jc w:val="start"/>
        <w:rPr>
          <w:rFonts w:ascii="David" w:hAnsi="David" w:cs="David"/>
          <w:b w:val="false"/>
          <w:bCs w:val="false"/>
          <w:color w:val="000000"/>
          <w:szCs w:val="22"/>
        </w:rPr>
      </w:pPr>
      <w:r>
        <w:rPr>
          <w:rFonts w:ascii="David" w:hAnsi="David" w:cs="David"/>
          <w:b w:val="false"/>
          <w:b w:val="false"/>
          <w:bCs w:val="false"/>
          <w:color w:val="000000"/>
          <w:szCs w:val="22"/>
          <w:rtl w:val="true"/>
        </w:rPr>
        <w:t xml:space="preserve">טלי חיימוביץ </w:t>
      </w:r>
      <w:r>
        <w:rPr>
          <w:rFonts w:cs="David" w:ascii="David" w:hAnsi="David"/>
          <w:b w:val="false"/>
          <w:bCs w:val="false"/>
          <w:color w:val="000000"/>
          <w:szCs w:val="22"/>
        </w:rPr>
        <w:t>54678313</w:t>
      </w:r>
    </w:p>
    <w:p>
      <w:pPr>
        <w:pStyle w:val="Style14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color w:val="FFFFFF"/>
          <w:sz w:val="6"/>
          <w:szCs w:val="6"/>
        </w:rPr>
        <w:t>54678313</w:t>
      </w: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#8#</w:t>
      </w:r>
      <w:r>
        <w:rPr>
          <w:rFonts w:cs="Arial" w:ascii="Arial" w:hAnsi="Arial"/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ניתנה והודעה היום 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 סיון תשע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28/06/2011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הנוכחים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טלי חיימוביץ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8314-09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אנואר אבו מדיעם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5769691" TargetMode="External"/><Relationship Id="rId13" Type="http://schemas.openxmlformats.org/officeDocument/2006/relationships/hyperlink" Target="http://www.nevo.co.il/case/578423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2016-04-26T12:28:00Z</dcterms:created>
  <dc:creator> </dc:creator>
  <dc:description/>
  <cp:keywords/>
  <dc:language>en-IL</dc:language>
  <cp:lastModifiedBy>run</cp:lastModifiedBy>
  <dcterms:modified xsi:type="dcterms:W3CDTF">2016-04-26T12:28:00Z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אנואר אבו מדיעם</vt:lpwstr>
  </property>
  <property fmtid="{D5CDD505-2E9C-101B-9397-08002B2CF9AE}" pid="4" name="CASESLISTTMP1">
    <vt:lpwstr>5769691;5784231</vt:lpwstr>
  </property>
  <property fmtid="{D5CDD505-2E9C-101B-9397-08002B2CF9AE}" pid="5" name="CITY">
    <vt:lpwstr>ב"ש</vt:lpwstr>
  </property>
  <property fmtid="{D5CDD505-2E9C-101B-9397-08002B2CF9AE}" pid="6" name="DATE">
    <vt:lpwstr>20110628</vt:lpwstr>
  </property>
  <property fmtid="{D5CDD505-2E9C-101B-9397-08002B2CF9AE}" pid="7" name="ISABSTRACT">
    <vt:lpwstr>Y</vt:lpwstr>
  </property>
  <property fmtid="{D5CDD505-2E9C-101B-9397-08002B2CF9AE}" pid="8" name="JUDGE">
    <vt:lpwstr>טלי חיימוביץ</vt:lpwstr>
  </property>
  <property fmtid="{D5CDD505-2E9C-101B-9397-08002B2CF9AE}" pid="9" name="LAWLISTTMP1">
    <vt:lpwstr>70301/333;335.a.1;144.a;340a</vt:lpwstr>
  </property>
  <property fmtid="{D5CDD505-2E9C-101B-9397-08002B2CF9AE}" pid="10" name="LAWYER">
    <vt:lpwstr>שרית שמש ו אלעטאוונה</vt:lpwstr>
  </property>
  <property fmtid="{D5CDD505-2E9C-101B-9397-08002B2CF9AE}" pid="11" name="NEWPARTA">
    <vt:lpwstr>8314</vt:lpwstr>
  </property>
  <property fmtid="{D5CDD505-2E9C-101B-9397-08002B2CF9AE}" pid="12" name="NEWPARTB">
    <vt:lpwstr/>
  </property>
  <property fmtid="{D5CDD505-2E9C-101B-9397-08002B2CF9AE}" pid="13" name="NEWPARTC">
    <vt:lpwstr>09</vt:lpwstr>
  </property>
  <property fmtid="{D5CDD505-2E9C-101B-9397-08002B2CF9AE}" pid="14" name="NEWPROC">
    <vt:lpwstr>תפ</vt:lpwstr>
  </property>
  <property fmtid="{D5CDD505-2E9C-101B-9397-08002B2CF9AE}" pid="15" name="PROCNUM">
    <vt:lpwstr>8314</vt:lpwstr>
  </property>
  <property fmtid="{D5CDD505-2E9C-101B-9397-08002B2CF9AE}" pid="16" name="PROCYEAR">
    <vt:lpwstr>09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390020110628</vt:lpwstr>
  </property>
  <property fmtid="{D5CDD505-2E9C-101B-9397-08002B2CF9AE}" pid="20" name="TYPE_N_DATE">
    <vt:lpwstr>39020110628</vt:lpwstr>
  </property>
  <property fmtid="{D5CDD505-2E9C-101B-9397-08002B2CF9AE}" pid="21" name="WORDNUMPAGES">
    <vt:lpwstr>4</vt:lpwstr>
  </property>
</Properties>
</file>