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8320-09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אבו אלקיעאן ואח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15"/>
        <w:gridCol w:w="239"/>
        <w:gridCol w:w="2154"/>
        <w:gridCol w:w="2112"/>
      </w:tblGrid>
      <w:tr>
        <w:trPr>
          <w:trHeight w:val="337" w:hRule="atLeast"/>
        </w:trPr>
        <w:tc>
          <w:tcPr>
            <w:tcW w:w="42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יעקב שפסר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54" w:type="dxa"/>
            <w:tcBorders/>
          </w:tcPr>
          <w:p>
            <w:pPr>
              <w:pStyle w:val="Header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22447/09</w:t>
            </w:r>
          </w:p>
        </w:tc>
        <w:tc>
          <w:tcPr>
            <w:tcW w:w="2112" w:type="dxa"/>
            <w:tcBorders/>
          </w:tcPr>
          <w:p>
            <w:pPr>
              <w:pStyle w:val="Header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</w:rPr>
              <w:t>5588/09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ש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רוטשילד –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אמין אבו אלקיעאן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נ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אלעטאונה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סלימאן אבו אלקיעאן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נ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אליגון</w:t>
            </w:r>
          </w:p>
        </w:tc>
      </w:tr>
    </w:tbl>
    <w:p>
      <w:pPr>
        <w:pStyle w:val="12"/>
        <w:ind w:end="0"/>
        <w:jc w:val="star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rtl w:val="true"/>
        </w:rPr>
        <w:t>נוכחים</w:t>
      </w:r>
      <w:r>
        <w:rPr>
          <w:rFonts w:cs="Arial" w:ascii="Arial" w:hAnsi="Arial"/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rtl w:val="true"/>
        </w:rPr>
        <w:t>בא כוח מאשימה עו</w:t>
      </w:r>
      <w:r>
        <w:rPr>
          <w:rFonts w:cs="Arial" w:ascii="Arial" w:hAnsi="Arial"/>
          <w:u w:val="none"/>
          <w:rtl w:val="true"/>
        </w:rPr>
        <w:t>"</w:t>
      </w:r>
      <w:r>
        <w:rPr>
          <w:rFonts w:ascii="Arial" w:hAnsi="Arial" w:cs="Arial"/>
          <w:u w:val="none"/>
          <w:rtl w:val="true"/>
        </w:rPr>
        <w:t xml:space="preserve">ד שולי רוטשילד </w:t>
      </w:r>
    </w:p>
    <w:p>
      <w:pPr>
        <w:pStyle w:val="12"/>
        <w:spacing w:lineRule="auto" w:line="360"/>
        <w:ind w:end="0"/>
        <w:jc w:val="star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rtl w:val="true"/>
        </w:rPr>
        <w:t xml:space="preserve">נאשם </w:t>
      </w:r>
      <w:r>
        <w:rPr>
          <w:rFonts w:cs="Arial" w:ascii="Arial" w:hAnsi="Arial"/>
          <w:u w:val="none"/>
        </w:rPr>
        <w:t>1</w:t>
      </w:r>
      <w:r>
        <w:rPr>
          <w:rFonts w:cs="Arial" w:ascii="Arial" w:hAnsi="Arial"/>
          <w:u w:val="none"/>
          <w:rtl w:val="true"/>
        </w:rPr>
        <w:t xml:space="preserve">   </w:t>
      </w:r>
      <w:r>
        <w:rPr>
          <w:rFonts w:ascii="Arial" w:hAnsi="Arial" w:cs="Arial"/>
          <w:u w:val="none"/>
          <w:rtl w:val="true"/>
        </w:rPr>
        <w:t>אמין אבו אלקיעאן וב</w:t>
      </w:r>
      <w:r>
        <w:rPr>
          <w:rFonts w:cs="Arial" w:ascii="Arial" w:hAnsi="Arial"/>
          <w:u w:val="none"/>
          <w:rtl w:val="true"/>
        </w:rPr>
        <w:t>"</w:t>
      </w:r>
      <w:r>
        <w:rPr>
          <w:rFonts w:ascii="Arial" w:hAnsi="Arial" w:cs="Arial"/>
          <w:u w:val="none"/>
          <w:rtl w:val="true"/>
        </w:rPr>
        <w:t>כ עו</w:t>
      </w:r>
      <w:r>
        <w:rPr>
          <w:rFonts w:cs="Arial" w:ascii="Arial" w:hAnsi="Arial"/>
          <w:u w:val="none"/>
          <w:rtl w:val="true"/>
        </w:rPr>
        <w:t>"</w:t>
      </w:r>
      <w:r>
        <w:rPr>
          <w:rFonts w:ascii="Arial" w:hAnsi="Arial" w:cs="Arial"/>
          <w:u w:val="none"/>
          <w:rtl w:val="true"/>
        </w:rPr>
        <w:t>ד אלעטאונה</w:t>
      </w:r>
    </w:p>
    <w:p>
      <w:pPr>
        <w:pStyle w:val="12"/>
        <w:spacing w:lineRule="auto" w:line="360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ascii="Arial" w:hAnsi="Arial" w:cs="Arial"/>
          <w:u w:val="none"/>
          <w:rtl w:val="true"/>
        </w:rPr>
        <w:t xml:space="preserve">נאשם </w:t>
      </w:r>
      <w:r>
        <w:rPr>
          <w:rFonts w:cs="Arial" w:ascii="Arial" w:hAnsi="Arial"/>
          <w:u w:val="none"/>
        </w:rPr>
        <w:t>2</w:t>
      </w:r>
      <w:r>
        <w:rPr>
          <w:rFonts w:cs="Arial" w:ascii="Arial" w:hAnsi="Arial"/>
          <w:u w:val="none"/>
          <w:rtl w:val="true"/>
        </w:rPr>
        <w:t xml:space="preserve">   </w:t>
      </w:r>
      <w:r>
        <w:rPr>
          <w:rFonts w:ascii="Arial" w:hAnsi="Arial" w:cs="Arial"/>
          <w:u w:val="none"/>
          <w:rtl w:val="true"/>
        </w:rPr>
        <w:t>סלימאן אבו אלקיעאן וב</w:t>
      </w:r>
      <w:r>
        <w:rPr>
          <w:rFonts w:cs="Arial" w:ascii="Arial" w:hAnsi="Arial"/>
          <w:u w:val="none"/>
          <w:rtl w:val="true"/>
        </w:rPr>
        <w:t>"</w:t>
      </w:r>
      <w:r>
        <w:rPr>
          <w:rFonts w:ascii="Arial" w:hAnsi="Arial" w:cs="Arial"/>
          <w:u w:val="none"/>
          <w:rtl w:val="true"/>
        </w:rPr>
        <w:t>כ עו</w:t>
      </w:r>
      <w:r>
        <w:rPr>
          <w:rFonts w:cs="Arial" w:ascii="Arial" w:hAnsi="Arial"/>
          <w:u w:val="none"/>
          <w:rtl w:val="true"/>
        </w:rPr>
        <w:t>"</w:t>
      </w:r>
      <w:r>
        <w:rPr>
          <w:rFonts w:ascii="Arial" w:hAnsi="Arial" w:cs="Arial"/>
          <w:u w:val="none"/>
          <w:rtl w:val="true"/>
        </w:rPr>
        <w:t>ד אליגון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6" w:name="PsakDin"/>
      <w:bookmarkEnd w:id="6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7" w:name="PsakDin"/>
      <w:bookmarkStart w:id="8" w:name="PsakDin"/>
      <w:bookmarkEnd w:id="8"/>
    </w:p>
    <w:p>
      <w:pPr>
        <w:pStyle w:val="Heading4"/>
        <w:ind w:hanging="0" w:start="0" w:end="0"/>
        <w:jc w:val="star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 w:val="24"/>
          <w:szCs w:val="24"/>
          <w:u w:val="single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הנאשמים הורשעו  על פי הודאתם בכתב אישום מתוקן בעבירה של החזקת נשק ותחמושת שלא כדין </w:t>
      </w:r>
      <w:r>
        <w:rPr>
          <w:rFonts w:cs="Arial" w:ascii="Arial" w:hAnsi="Arial"/>
          <w:rtl w:val="true"/>
        </w:rPr>
        <w:t>(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כתב האישום נתפסו הנאשמים ביום </w:t>
      </w:r>
      <w:r>
        <w:rPr>
          <w:rFonts w:cs="Arial" w:ascii="Arial" w:hAnsi="Arial"/>
        </w:rPr>
        <w:t>15.12.09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 בו נסעו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כשכל אחד מהם החזיק ברשותו אקדח טעון ומחסנית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מחסנית נוספת בכיס מעילו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הודייתם של הנאשמים היתה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כתב אישום מתוקן שהוגש בעניינם ובאה בעקבות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שלפיו הסכימה המאשימה לבקשת הנאשמים לקבלת חוות דעת שירות המבחן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התחייבה להמלצותיו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תסקירים כאמור הונחו על שולחני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הצדדים השלימו טיעוניהם ובהתאם ניתן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חוות דעת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מנת שלא לפגוע בצנעת הפרט לא אפרט את האמור בתסקיר ואך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בתסקירים שלא ניתן להגדירם כחיוביים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אמין אבו אלקיען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שירות המבחן כי אמנם המדובר בנאשם המקבל אחריות לביצועה של העבירה ואולם למרות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הוא לקבל אחריות מלאה להתנהגותו ונוטה ליחסה לגורמים חיצוניים הקשורים למצב בו היתה נתונה משפחתו המורחבת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מריבה בין השבט אליו הוא משתייך לבין שבט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והצורך בהגנה עצמית בשל חששו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מציין השירות כי המדובר בנאשם שהפנים לאורך השנים נורמות התנהגות במסגרת החברתית בה 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כשבמקרה התנגשות עם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מעדיף הוא אותן על פני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מתרשם השירות כי הנאשם אינו מודה בדפוסי התנהגותו ומחשבתו הבעייתיים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 נמנע השירות מהמלצה טיפולית בעניינו והמליץ להטיל עונש הרתעתי של מאסר שירוצה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התרשמות שירות המבחן 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סלימאן אבואלקיען – 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מצד אחד מקבל אחריות מילולית להתנהלותו הבעייתית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ומכיר בקשיים בתפקודו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ומצד שני – מתקשה לעשות זאת באופן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לברר ולזהות דפוסי התנהגותו הבעייתים ובחינתם לעומק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שנוטה אף הוא לייחסם לגורמים חיצוניים הנוגעים להתנהלות השבטית במסגרתה הוא 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רקע העבירות מוסבר על ידו גם כן בסכסוך המשפחה המורחבת והצורך בהגנה עצמית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זהה המלצת השירות גם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מאסר המומר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2"/>
        <w:ind w:hanging="0" w:start="0" w:end="0"/>
        <w:jc w:val="start"/>
        <w:rPr>
          <w:rFonts w:ascii="Arial" w:hAnsi="Arial" w:cs="Arial"/>
          <w:i w:val="false"/>
          <w:i w:val="false"/>
          <w:iCs w:val="false"/>
          <w:u w:val="single"/>
        </w:rPr>
      </w:pPr>
      <w:r>
        <w:rPr>
          <w:rFonts w:ascii="Arial" w:hAnsi="Arial" w:cs="Arial"/>
          <w:i w:val="false"/>
          <w:i w:val="false"/>
          <w:iCs w:val="false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i/>
          <w:i/>
          <w:iCs/>
          <w:u w:val="single"/>
        </w:rPr>
      </w:pPr>
      <w:r>
        <w:rPr>
          <w:rFonts w:cs="Arial" w:ascii="Arial" w:hAnsi="Arial"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את חומרתה של העבירה והסכנה הנובעת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כנגד בטחון המדינה ופעילות עויינת והן כפעילות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נפקות של ממש לעובדה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בסופו של יום היתה תכלית החזקת הנשק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כנגד בטחון המדינה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עוד הדגישה את העובדה כי המדובר בנאשמים שנתפסו עם נשק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בעלת חומרה לכשעצמה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בדבריה הפנתה לפסיקה הקובעת רמת ענישה מחמירה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ועתרה להשתת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ביקשו לאמץ את המלצות שירות המבחן ולהשית על הנאשמים עונשי מאסר מומרים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כי בחינת האמור בתסקיר שירות המבחן ביחד עם גליון הרשעותיו של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כי מדובר באדם שאינו מנהל אורח חיים 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בשונה מהפסיקה שהוגשה על ידי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חזר והסביר את הרקע לביצוע העבירה – הסכסוך השבטי שהיה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מצא את עצמו הנאשם במעגל הסכסוך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באופן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על רקע השתייכותו השבטית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לנסיבותיו האישיות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המדובר בנאשם 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ובעל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 משך השנים באורח סדיר בעבודה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אחריות ואף ריצה מעצר בפועל משך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בסיום דבריו היפנה לפסיקה התומכת בעמדתו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הצטרף לטיעוני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והוסיף פרטים על הסכסוך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כי בתקופה הרלוונטית נורו ונפצעו מספר אנשים ממשפחת הנאשמים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מנהגי המסורת הבדואית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הפכו גם הנאשמים להיות מועמדים לפגיעה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לטיעוני המדינה הנוגעים לתכלית ההחזקה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הובאה כל ראיה לסתירת גרסתם של הנאשמים הנוגעת להגנה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מהווה את תחתית הסולם של קטגוריות החומרה בעבירה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המדובר בנאשם 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 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המפרנס 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שאף הוא שהה במעצר משך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הרשעותיו הקודמות אינן רלוונטיות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טיעוני הסניגור לענייננו ועל כן אין לייחס להן משקל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שיש לזכור שמאז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לאירוע נשוא 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הסתבך הנאשם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בנסיבות אלה מבקש הוא לאמץ את המלצת שירות המבחן גם 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להטיל עליו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הסבירו בדבריהם את הרקע לעבירה – הסכסוך שתואר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בה והביעו חרטתם עליה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ing3"/>
        <w:ind w:hanging="0" w:start="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לחזור ולהדגיש את חומרתה של עבירת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והמסוכנות הציבורית הרבה שהיא מגלמת בתוכה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יצחק רפאל 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ד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חובת ההחמרה הנדרשת בעבירות אלה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מן הראוי שיהיה בעונש כדי להרתיע מנפיצות התופעה העבריינית של החזקה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נשיאה ושימוש בנשק חם מסוגים שונים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מחייבים מתן ביטוי עונשי הולם והחמרה ברמת הענישה 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אם אכן נהגו בתי המשפט בסלחנות עד כה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לומר כי לא הרימו תרומה מספקת לעקירת התופעה של החזקה או 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שהתפשטה במקומותינו והתדרדרה לשימוש בו בידי גורמים המסכנים את שלומו ובטחונו של הציבור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7955/06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מיסור כרכור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1.1.07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קבע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64" w:start="764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החזקת נשק שלא כדין 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מי שלא הורשה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עבירה לה נודעת השלכות חמורות במיוחד בשנים האחרונות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עבריינים עושים שימוש תכוף בנשק חם כדי לבצע עבירות או כדי לחסל חשבונות עם יריבים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כתוצאה מכך נפגעו לא אחת אנשים חפים מפשע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השקפת הפסיקה היא כי יש לגזור למבצעיהן של עבירות מסוג זה עונשי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מתוך תקווה שבדרך זו ניתן יהיה לצמצם את ממדיה של התופעה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29.3.04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נדחה ערעור ביחס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שהשית שמונה 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נכתב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מעבר לנדרש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הטעם להחמרה הנזכרת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בין היתר על רקע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המציאות מוכיחה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שהמרחק בין החזקת נשק לשימוש בו הוא לעתים קצר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 מן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בשבריר שניה כשלעתים שבריר שניה זה משמעותו אבדן חיי אדם או פגיעה בגופו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להעדיף איפוא בעבירות מסוג זה את האינטרס הציבורי במניעת 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צמצום לכדי מינימום את התפשטות התופעה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ענישה מרתיעה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לגזור גזירה שווה בכל 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על פי הפסיקה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לבחון בין היתר את מטרת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לסיווג של קטגוריות שנקבעו ב</w:t>
      </w:r>
      <w:hyperlink r:id="rId10"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ש </w:t>
        </w:r>
        <w:r>
          <w:rPr>
            <w:rStyle w:val="Hyperlink"/>
            <w:rFonts w:cs="Arial" w:ascii="Arial" w:hAnsi="Arial"/>
          </w:rPr>
          <w:t>625/82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אבו מוך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לז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671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תוך שיש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פרשת אבו מוך עסקה בשאלת מעצר עד תום ההליכים ולא בשאלת העונש בתיק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והשוני הקונספטואלי המונח בבסיס שני ההליכים</w:t>
      </w:r>
      <w:r>
        <w:rPr>
          <w:rFonts w:cs="Arial" w:ascii="Arial" w:hAnsi="Arial"/>
          <w:rtl w:val="true"/>
        </w:rPr>
        <w:t xml:space="preserve">). 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נתונים ברורים באשר למטרת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זולת טענת הנאשמים כי החזיקו בו לצורך הגנה עצמית על רקע סכסוך שבטי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המקבילה לקטגוריה 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בפרשת </w:t>
      </w:r>
      <w:r>
        <w:rPr>
          <w:rFonts w:ascii="Arial" w:hAnsi="Arial" w:cs="Arial"/>
          <w:b/>
          <w:b/>
          <w:bCs/>
          <w:rtl w:val="true"/>
        </w:rPr>
        <w:t>אבו מוך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אין צורך להזכיר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 בהן מחזיק אדם אקדח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שיש בידיו היתר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מעוררות את החשד כי ההחזקה נועדה למטרה בלתי כשרה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לא הובאו כל נתונים שהם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מי מהצדדים לאותו סכסוך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שהטענה נותרה תלויה בחלל ללא כל אסמכתא שהיא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אוכל לייחס משקל של ממש למטרת ההחזקה כנסיבה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אחשיבה גם כאחת מהקטגוריות בעלות החומרה היתרה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אם אצא מנקודת הנחה לפיה הוחזק הנשק על ידי הנאשמים כהגנה עצמית על רקע מנהגי המסורת הבדואית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הפכו גם הם להיות מועמדים לפגיעה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סניגוריהם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שדווקא היא הנותנת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חובה כפולה מצד בתי המשפט לתרום תרומתם לחיסול ולפחות לצמצום תופעה פסולה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בני שבטים מסוכסכים מחסלים חשבונות ופוגעים ביריביהם במסגרת עשיית דין והתחשבנות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בבחינת לית דין ולית דיין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אם היה ממש בחשש האמור מצד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יכולה מדינה מתוקנת להשלים עם מצב בו יקחו אנשים את החוק לידיהם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בחיסול החשבונות ובין בהגנה מפניה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עיינתי בפסיקה שהוצגה לי 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ולצערי לא תורמת היא תרומה של ממש לדיוננו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פסיקת המאשימה </w:t>
      </w: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מיכאל אדרי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22.2.07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. (</w:t>
      </w:r>
      <w:r>
        <w:rPr>
          <w:rFonts w:ascii="Arial" w:hAnsi="Arial" w:cs="Arial"/>
          <w:color w:val="000000"/>
          <w:rtl w:val="true"/>
        </w:rPr>
        <w:t>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ש</w:t>
      </w:r>
      <w:r>
        <w:rPr>
          <w:rFonts w:cs="Arial" w:ascii="Arial" w:hAnsi="Arial"/>
          <w:color w:val="000000"/>
          <w:rtl w:val="true"/>
        </w:rPr>
        <w:t xml:space="preserve">)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8041/07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מירילאשוילי יצחק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12.7.07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 xml:space="preserve">מציגה רמת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בשני המקרים מדובר בנאשמים בעלי מעורבות רבה בפלילים ועבר פלילי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למותר לציין כי הדבר אינו דומה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על אף שאין זה מפגשם הראשון של הנאשמים עם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רחוקים הם מלהיחשב כבעלי עבר פלילי מכביד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בעל שתי הרשעות בעבירות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שאינן ממין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בעל שבע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אמנם בעבירות אלימות אם כי גם כן לא ממין ענייננו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הדין באשר לפסיקה שהוצגה לעיוני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שברובה נגזר דינם של הנאשמים לעבודות שירות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1964/91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דוד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המדובר היה בערעור על ההרשעה בלבד שהתבססה על החזקה קונסטרוקטיבית בלבד וזו היתה ליבת פסק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 נשאו הנאשמים את כלי הנשק טעונים על גופם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8090/02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עמוס ארז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12.4.05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המדובר היה במציאת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מוקשי נעל ישנים במכונית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שם נקלע לעניין באקראי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כששותפו אכן נדון ל 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הוברר שהנאשם שולב בהליך גמילה מוצלח ביתר ותסקירו היה חיובי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למותר לציין כי עובדות אלה אינן דומות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8158/02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איליאייב אנטולי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1.6.04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המדובר היה בפעולת הגנה עצמית מובהקת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חטף דווקא הנאשם מידי המתלונן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 בא לאיים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מכן חזר המתלונן ביחד עם עוד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חמושים אשר ירו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שנפצע קשה ונותר נכה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עניין אכן הורשעו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הובאה כל אסמכתא דומה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חי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31970-02-10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שי כלידיאן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16.6.10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המדובר היה בזיקוקים ונפצים שהיו ברכב ואקדח שלא נמצא על הנאשם אלא נמצא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נשוא ענייננו נתפסו כשהם נושאים אקדחים טעונים על גופם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 </w:t>
        </w:r>
        <w:r>
          <w:rPr>
            <w:rStyle w:val="Hyperlink"/>
            <w:rFonts w:cs="Arial" w:ascii="Arial" w:hAnsi="Arial"/>
          </w:rPr>
          <w:t>8192/04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יוסי בוחבוט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26.12.07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המדובר היה בנשק שאין ביכולתו להרוג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רימון הלם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' (</w:t>
      </w:r>
      <w:r>
        <w:rPr>
          <w:rFonts w:ascii="Arial" w:hAnsi="Arial" w:cs="Arial"/>
          <w:color w:val="000000"/>
          <w:rtl w:val="true"/>
        </w:rPr>
        <w:t>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ש</w:t>
      </w:r>
      <w:r>
        <w:rPr>
          <w:rFonts w:cs="Arial" w:ascii="Arial" w:hAnsi="Arial"/>
          <w:color w:val="000000"/>
          <w:rtl w:val="true"/>
        </w:rPr>
        <w:t xml:space="preserve">)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8226/02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מתעב אבולקעין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6.1.05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היה מדובר בנסיבות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קיבל הנאשם שהיה אדם בעל תפקוד נורמטיבי ללא רבב את האקדח תוך כדי מריבה שהתלהטה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נערכה סולחה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שירות המבחן היה חיובי ביותר ובעיקר תשומת הלב היתה לשוויון ואחידות ענישה על רקע עמדת המדינה ביחס למעורב אחר מאותו 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חי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12181-10-09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מרואן סליבא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14.4.10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המדובר היה בנאשם נורמטיבי שזו לו הסתבכות 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פעילות קהילתית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העבירה היה מתוך סערת רגשות על רקע אלימות אביו של הנאשם כלפי אמו ונסיון להרתיעו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התקבל תסקיר חיובי של שירות המבחן ושהות ארוכה יחסית במעצר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'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8174/03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יוסף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8.10.03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המדובר היה בתחמושת בלבד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אקדח ושתי מחסניות ללא הנשק עצמו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בהסדר טיעון כלפי נאשם שלכשעצמו היה בעל תרומה חשובה לבטחון המדינה ובכל זאת הושת מאסר בפועל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בגזר הדין ב</w:t>
      </w:r>
      <w:r>
        <w:rPr>
          <w:rFonts w:ascii="Arial" w:hAnsi="Arial" w:cs="Arial"/>
          <w:color w:val="000000"/>
          <w:rtl w:val="true"/>
        </w:rPr>
        <w:t>תפ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ח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ש</w:t>
      </w:r>
      <w:r>
        <w:rPr>
          <w:rFonts w:cs="Arial" w:ascii="Arial" w:hAnsi="Arial"/>
          <w:color w:val="000000"/>
          <w:rtl w:val="true"/>
        </w:rPr>
        <w:t xml:space="preserve">)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1010/07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דרומי שי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20.10.09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אליו הפנוני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היה בהסדר טיעון לעונש מוסכם על שני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בנסיבות מיוחדות באותו תיק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כמצויין בגזה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ממנו לא אוכל לגזור גזירה שווה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 שרות המבחן שהוגש בעניינם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בא כאמור בהמלצה טיפולית כלשהיא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2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כנגד שיקולים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עומדת לזכותם של הנאשמים עובדת הודאתם המהירה בביצוע המיוחס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התרשמתי שהמדובר בנאשמים  שאינם מנהלים ככלל אורח חיים עברייני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אוכל להתעלם גם ממצבם 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נשואים הם ובעלי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בגילאי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– חודש וחצי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בגילאי </w:t>
      </w:r>
      <w:r>
        <w:rPr>
          <w:rFonts w:cs="Arial" w:ascii="Arial" w:hAnsi="Arial"/>
        </w:rPr>
        <w:t>1-9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גליון הרשעותיהם אינו מכביד והעבירות בו אינן מהתקופה האחרונה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לרקע הסכסוך הבעתי עמדתי כבר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אניח לזכותם כי אכן ביצעו את המיוחס להם מתוך מצוקה וחשש לשלומם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לזכותם תיזקף גם חרטתם כפי שהובעה בפני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האמור לעיל ובשקלול האיזונים שבין מטרות הענישה מחד לבין נסיבות הנאשמים והעבירה שביצעו 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שלא למצות את הדין עימם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והנני דן אותם איפוא למאסר למשך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חדשים מתוכם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חדשים יהיו לריצוי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בניכוי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מעצרם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15.12.09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20.1.10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ויתרתם תהא על תנאי והתנאי הוא שלא יעברו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להימנע מהטלת 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ניתנה והודעה היום 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14/07/2010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יעקב שפסר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#8#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דינם של נאשמים שהורשעו בדין ונגזר דינם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כאלה שטרם נעשה כן והם בחזקת חפים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למרות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לי כי הוספת התנאי של עיכוב היציאה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תספק 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מוצא בזאת צו עיכוב יציאה מן הארץ כנגד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יפקידו דרכוניהם במזכירות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כתנאי לשחרורם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ולעיכוב הביצוע בעניינם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בקשת באי כוחם והתחייבותם לפיקוח על הנאשמים בתחומי בית המשפט עד להפקדת דרכונם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צורך לעצרם בשלב זה וניתנת ארכה כמבוקש להפקדת הדרכון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12:00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בכפוף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מעוכב ביצוע גזר הדין למשך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שמניינם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וככל שיוגש ערעור עד מתן פסק הדין בערעור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 תנאי השחרור שנקבעו בעניינם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האיזוק האלקטרוני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יוותרו בעינם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#9#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ניתנה והודעה היום 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14/07/2010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יעקב שפסר </w:t>
      </w:r>
      <w:r>
        <w:rPr>
          <w:color w:val="000000"/>
          <w:sz w:val="22"/>
          <w:szCs w:val="22"/>
        </w:rPr>
        <w:t>54678313-8320/09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יעקב שפסר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/Users/liorb/Downloads/study2025-p2/ME-09-8320-521.doc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8320-09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אמין אבו אלקיעאן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6104546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case/5724364" TargetMode="External"/><Relationship Id="rId12" Type="http://schemas.openxmlformats.org/officeDocument/2006/relationships/hyperlink" Target="http://www.nevo.co.il/case/652628" TargetMode="External"/><Relationship Id="rId13" Type="http://schemas.openxmlformats.org/officeDocument/2006/relationships/hyperlink" Target="http://www.nevo.co.il/case/17914022" TargetMode="External"/><Relationship Id="rId14" Type="http://schemas.openxmlformats.org/officeDocument/2006/relationships/hyperlink" Target="http://www.nevo.co.il/case/258631" TargetMode="External"/><Relationship Id="rId15" Type="http://schemas.openxmlformats.org/officeDocument/2006/relationships/hyperlink" Target="http://www.nevo.co.il/case/258754" TargetMode="External"/><Relationship Id="rId16" Type="http://schemas.openxmlformats.org/officeDocument/2006/relationships/hyperlink" Target="http://www.nevo.co.il/case/4909599" TargetMode="External"/><Relationship Id="rId17" Type="http://schemas.openxmlformats.org/officeDocument/2006/relationships/hyperlink" Target="http://www.nevo.co.il/case/380233" TargetMode="External"/><Relationship Id="rId18" Type="http://schemas.openxmlformats.org/officeDocument/2006/relationships/hyperlink" Target="http://www.nevo.co.il/case/2242634" TargetMode="External"/><Relationship Id="rId19" Type="http://schemas.openxmlformats.org/officeDocument/2006/relationships/hyperlink" Target="http://www.nevo.co.il/case/4379825" TargetMode="External"/><Relationship Id="rId20" Type="http://schemas.openxmlformats.org/officeDocument/2006/relationships/hyperlink" Target="http://www.nevo.co.il/case/311956" TargetMode="External"/><Relationship Id="rId21" Type="http://schemas.openxmlformats.org/officeDocument/2006/relationships/hyperlink" Target="http://www.nevo.co.il/case/2246063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2016-07-25T15:42:00Z</dcterms:created>
  <dc:creator> </dc:creator>
  <dc:description/>
  <cp:keywords/>
  <dc:language>en-IL</dc:language>
  <cp:lastModifiedBy>run</cp:lastModifiedBy>
  <dcterms:modified xsi:type="dcterms:W3CDTF">2016-07-25T15:42:00Z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אמין אבו אלקיעאן;סלימאן אבו אלקיעאן</vt:lpwstr>
  </property>
  <property fmtid="{D5CDD505-2E9C-101B-9397-08002B2CF9AE}" pid="4" name="CASESLISTTMP1">
    <vt:lpwstr>5762686;5852404;17929065;5724364;652628;17914022;258631;258754;4909599;380233;2242634;4379825;311956;2246063</vt:lpwstr>
  </property>
  <property fmtid="{D5CDD505-2E9C-101B-9397-08002B2CF9AE}" pid="5" name="CITY">
    <vt:lpwstr>ב"ש</vt:lpwstr>
  </property>
  <property fmtid="{D5CDD505-2E9C-101B-9397-08002B2CF9AE}" pid="6" name="DATE">
    <vt:lpwstr>20100714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יעקב שפסר</vt:lpwstr>
  </property>
  <property fmtid="{D5CDD505-2E9C-101B-9397-08002B2CF9AE}" pid="10" name="LAWLISTTMP1">
    <vt:lpwstr>70301/144.a;144</vt:lpwstr>
  </property>
  <property fmtid="{D5CDD505-2E9C-101B-9397-08002B2CF9AE}" pid="11" name="LAWYER">
    <vt:lpwstr>ש' רוטשילד;נ' אלעטאונה;נ' אליגון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8320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8320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8320 521 htm</vt:lpwstr>
  </property>
  <property fmtid="{D5CDD505-2E9C-101B-9397-08002B2CF9AE}" pid="36" name="TYPE">
    <vt:lpwstr>2</vt:lpwstr>
  </property>
  <property fmtid="{D5CDD505-2E9C-101B-9397-08002B2CF9AE}" pid="37" name="TYPE_ABS_DATE">
    <vt:lpwstr>390020100714</vt:lpwstr>
  </property>
  <property fmtid="{D5CDD505-2E9C-101B-9397-08002B2CF9AE}" pid="38" name="TYPE_N_DATE">
    <vt:lpwstr>39020100714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