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52"/>
        <w:gridCol w:w="3571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495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8416-07-21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57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531" w:type="dxa"/>
        <w:jc w:val="start"/>
        <w:tblInd w:w="-36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53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0" w:hRule="atLeast"/>
          <w:cantSplit w:val="true"/>
        </w:trPr>
        <w:tc>
          <w:tcPr>
            <w:tcW w:w="260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531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50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55" w:hRule="atLeast"/>
        </w:trPr>
        <w:tc>
          <w:tcPr>
            <w:tcW w:w="8501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הודה במסגרת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מתוקן</w:t>
      </w:r>
      <w:r>
        <w:rPr>
          <w:rFonts w:ascii="Arial" w:hAnsi="Arial" w:cs="Arial"/>
          <w:rtl w:val="true"/>
        </w:rPr>
        <w:t xml:space="preserve"> בעבירות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אישום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ראשון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start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9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20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</w:t>
      </w:r>
      <w:r>
        <w:rPr>
          <w:rFonts w:ascii="Arial" w:hAnsi="Arial" w:cs="Arial"/>
          <w:rtl w:val="true"/>
        </w:rPr>
        <w:t xml:space="preserve">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תשע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2016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המאבק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בטרור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במזיד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ממניע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גזענות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413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</w:t>
      </w:r>
      <w:hyperlink r:id="rId25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התפרעות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הפרעה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לשוטר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מילוי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תפקידו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2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+ </w:t>
      </w:r>
      <w:hyperlink r:id="rId30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אישום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שני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start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בזדון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3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+ </w:t>
      </w:r>
      <w:hyperlink r:id="rId33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אישום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שלישי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start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35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+ </w:t>
      </w:r>
      <w:hyperlink r:id="rId36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+ </w:t>
      </w:r>
      <w:hyperlink r:id="rId37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38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בזדון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40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+ </w:t>
      </w:r>
      <w:hyperlink r:id="rId41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פי </w:t>
      </w:r>
      <w:r>
        <w:rPr>
          <w:rFonts w:ascii="Arial" w:hAnsi="Arial" w:cs="Arial"/>
          <w:rtl w:val="true"/>
        </w:rPr>
        <w:t>המתואר בחלק הכללי של כתב האישום האירועים המתוארים בכתב האישום התרחשו בעיצומה של מערכה צבאית בין מדינת ישראל לארגון 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ברצועת עזה שכונתה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מבצע שומרת החומות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במהלך הימים שקדמו לאירועים האוכלוסייה האזרחית במדינה הייתה נתונה תחת מתקפה של מאות רקטות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העת התעורר גל של הפרות סדר והתפרעויות אלימות ברחבי הארץ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לאומני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תקיפות כלפי כוחות המשטרה והביטחון וכלפי אזרחים יהודים וערבים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לפי המתואר ב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12.5.21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התקהלו מאות אנשים בסמוך לצומת הכניסה לכפר קרע על כביש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ובאזור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תחנת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שנמצאת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הכפר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בסמוך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לצומת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רישיון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להפגין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המשתתפים</w:t>
      </w:r>
      <w:r>
        <w:rPr>
          <w:rFonts w:ascii="Arial" w:hAnsi="Arial" w:cs="Arial"/>
          <w:rtl w:val="true"/>
        </w:rPr>
        <w:t xml:space="preserve"> קראו קריאות נגד המשטרה והמדינה וגם אחזו בדגלי פלסטין וחלקם היו רעולי 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ההפרעות </w:t>
      </w:r>
      <w:r>
        <w:rPr>
          <w:rFonts w:ascii="Arial" w:hAnsi="Arial" w:cs="Arial"/>
          <w:rtl w:val="true"/>
        </w:rPr>
        <w:t>הוצתו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צמיגים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נזקים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לרכוש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ציבורי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בצומת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ובסביבתה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הושלכו</w:t>
      </w:r>
      <w:r>
        <w:rPr>
          <w:rFonts w:ascii="Arial" w:hAnsi="Arial" w:cs="Arial"/>
          <w:rtl w:val="true"/>
        </w:rPr>
        <w:t xml:space="preserve"> אבנים לעבר </w:t>
      </w:r>
      <w:r>
        <w:rPr>
          <w:rFonts w:ascii="Arial" w:hAnsi="Arial" w:cs="Arial"/>
          <w:rtl w:val="true"/>
        </w:rPr>
        <w:t>מכוניות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שנסעו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>הושלכו</w:t>
      </w:r>
      <w:r>
        <w:rPr>
          <w:rFonts w:ascii="Arial" w:hAnsi="Arial" w:cs="Arial"/>
          <w:rtl w:val="true"/>
        </w:rPr>
        <w:t xml:space="preserve"> אבנים ונורו זיקוקים נגד כוחות המשטרה שפעלו בצומת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בסמוך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00:10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13.5.21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נהגה המתלוננת בתוך כפר קרע בסמוך לתחנת הדלק כאשר יחד עמה ברכב היו הוריה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הפורעים זיהו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בני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כיהודים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וצעקו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יהוד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יהוד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והחלה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התגודדות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עשרות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מהפורעים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סביב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במטרה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לחסום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ולתקוף</w:t>
      </w:r>
      <w:r>
        <w:rPr>
          <w:rFonts w:ascii="Arial" w:hAnsi="Arial" w:cs="Arial"/>
          <w:rtl w:val="true"/>
        </w:rPr>
        <w:t xml:space="preserve"> את בני המשפחה בשל היותם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ידו</w:t>
      </w:r>
      <w:r>
        <w:rPr>
          <w:rFonts w:ascii="Arial" w:hAnsi="Arial" w:cs="Arial"/>
          <w:rtl w:val="true"/>
        </w:rPr>
        <w:t xml:space="preserve"> אבנים על הרכב ממרחק קרוב וכן חבטו ברכב באגרופים ובבעיטות ובאמצעות מקלות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כתוצאה מהאמור </w:t>
      </w:r>
      <w:r>
        <w:rPr>
          <w:rFonts w:ascii="Arial" w:hAnsi="Arial" w:cs="Arial"/>
          <w:rtl w:val="true"/>
        </w:rPr>
        <w:t>שמשות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הרכב </w:t>
      </w:r>
      <w:r>
        <w:rPr>
          <w:rFonts w:ascii="Arial" w:hAnsi="Arial" w:cs="Arial"/>
          <w:rtl w:val="true"/>
        </w:rPr>
        <w:t>נופצו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והפורעים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ניסו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לפתוח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דלתות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במטרה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להוציא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</w:t>
      </w:r>
      <w:r>
        <w:rPr>
          <w:rFonts w:ascii="Arial" w:hAnsi="Arial" w:cs="Arial"/>
          <w:rtl w:val="true"/>
        </w:rPr>
        <w:t>ירוע</w:t>
      </w:r>
      <w:r>
        <w:rPr>
          <w:rFonts w:ascii="Arial" w:hAnsi="Arial" w:cs="Arial"/>
          <w:rtl w:val="true"/>
        </w:rPr>
        <w:t xml:space="preserve"> ניס</w:t>
      </w:r>
      <w:r>
        <w:rPr>
          <w:rFonts w:ascii="Arial" w:hAnsi="Arial" w:cs="Arial"/>
          <w:rtl w:val="true"/>
        </w:rPr>
        <w:t>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להימלט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מהתוקפים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בנסיעה</w:t>
      </w:r>
      <w:r>
        <w:rPr>
          <w:rFonts w:ascii="Arial" w:hAnsi="Arial" w:cs="Arial"/>
          <w:rtl w:val="true"/>
        </w:rPr>
        <w:t xml:space="preserve"> ללא 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הצטרף לאירוע המתואר </w:t>
      </w:r>
      <w:r>
        <w:rPr>
          <w:rFonts w:ascii="Arial" w:hAnsi="Arial" w:cs="Arial"/>
          <w:rtl w:val="true"/>
        </w:rPr>
        <w:t>ופעל</w:t>
      </w:r>
      <w:r>
        <w:rPr>
          <w:rFonts w:ascii="Arial" w:hAnsi="Arial" w:cs="Arial"/>
          <w:rtl w:val="true"/>
        </w:rPr>
        <w:t xml:space="preserve"> עם </w:t>
      </w:r>
      <w:r>
        <w:rPr>
          <w:rFonts w:ascii="Arial" w:hAnsi="Arial" w:cs="Arial"/>
          <w:rtl w:val="true"/>
        </w:rPr>
        <w:t xml:space="preserve">בצוותא עם </w:t>
      </w:r>
      <w:r>
        <w:rPr>
          <w:rFonts w:ascii="Arial" w:hAnsi="Arial" w:cs="Arial"/>
          <w:rtl w:val="true"/>
        </w:rPr>
        <w:t>יתר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התוקפים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י</w:t>
      </w:r>
      <w:r>
        <w:rPr>
          <w:rFonts w:ascii="Arial" w:hAnsi="Arial" w:cs="Arial"/>
          <w:rtl w:val="true"/>
        </w:rPr>
        <w:t>ידה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אבנים לעבר הרכב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פגעו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כשהרכב האט את מהירותו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נצמד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 א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החלון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הסמוך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לנהג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שנופץ</w:t>
      </w:r>
      <w:r>
        <w:rPr>
          <w:rFonts w:ascii="Arial" w:hAnsi="Arial" w:cs="Arial"/>
          <w:rtl w:val="true"/>
        </w:rPr>
        <w:t xml:space="preserve"> ואחז בחוזקה בראשה של המתלוננת ולחץ על פניה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השתחררה מאחיזתו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והצליחה</w:t>
      </w:r>
      <w:r>
        <w:rPr>
          <w:rFonts w:ascii="Arial" w:hAnsi="Arial" w:cs="Arial"/>
          <w:rtl w:val="true"/>
        </w:rPr>
        <w:t xml:space="preserve"> להיחלץ בנסיעה מהתוקפים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שוטרים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שפעלו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בסביבת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הצומת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הבחינו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לעברו</w:t>
      </w:r>
      <w:r>
        <w:rPr>
          <w:rFonts w:ascii="Arial" w:hAnsi="Arial" w:cs="Arial"/>
          <w:rtl w:val="true"/>
        </w:rPr>
        <w:t xml:space="preserve"> תוך שהם משתמשים באמצעים לפיזור הפגנות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התוקפים המשיכו בשלהם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 אחד השוטרים ביצ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באוויר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מנשקו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והתוקפים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ברחו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נמלטו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בנסיעה</w:t>
      </w:r>
      <w:r>
        <w:rPr>
          <w:rFonts w:ascii="Arial" w:hAnsi="Arial" w:cs="Arial"/>
          <w:rtl w:val="true"/>
        </w:rPr>
        <w:t xml:space="preserve"> מחוץ לכפר קרע בכביש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אביה</w:t>
      </w:r>
      <w:r>
        <w:rPr>
          <w:rFonts w:ascii="Arial" w:hAnsi="Arial" w:cs="Arial"/>
          <w:rtl w:val="true"/>
        </w:rPr>
        <w:t xml:space="preserve"> של המתלוננת נפגע מאבן ברגלו וסבל מכאבים נוספים כתוצאה מהתנגשות הרכב בכלי רכב אחרים במהלך ההימלטות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אמה של המתלוננת </w:t>
      </w:r>
      <w:r>
        <w:rPr>
          <w:rFonts w:ascii="Arial" w:hAnsi="Arial" w:cs="Arial"/>
          <w:rtl w:val="true"/>
        </w:rPr>
        <w:t>נחבלה</w:t>
      </w:r>
      <w:r>
        <w:rPr>
          <w:rFonts w:ascii="Arial" w:hAnsi="Arial" w:cs="Arial"/>
          <w:rtl w:val="true"/>
        </w:rPr>
        <w:t xml:space="preserve"> מפגיעת זכוכיות שהתנפצו וגרמו לה שריטות בפנים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בזרוע ובקרסול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המתלוננת נחבלה ממכות התוקפים ומפגיעת אבנים ומזכוכיות </w:t>
      </w:r>
      <w:r>
        <w:rPr>
          <w:rFonts w:ascii="Arial" w:hAnsi="Arial" w:cs="Arial"/>
          <w:rtl w:val="true"/>
        </w:rPr>
        <w:t>ונגרמו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הימטומות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ושריטות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ובבטן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נופצו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השמשות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בטמבון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האחורי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ונשברה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דלת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להתרחשות שתוארה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01:58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הנאשם בצוותא עם אחרים למרכז השיטור הקהילתי בכפר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שבכוונתם</w:t>
      </w:r>
      <w:r>
        <w:rPr>
          <w:rFonts w:ascii="Arial" w:hAnsi="Arial" w:cs="Arial"/>
          <w:rtl w:val="true"/>
        </w:rPr>
        <w:t xml:space="preserve"> לגרום נזק לתחנה שהייתה סגורה ולא נכחו בה אנשים באותה 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חלונות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התחנה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ודלת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הכניסה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והיכו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מקלות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בחלונות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מהאחרים שברו את מצלמות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כתוצאה ממעשיהם נשברו חלונות ודלת הכניסה בתחנה ונגרם נזק למצלמות </w:t>
      </w:r>
      <w:r>
        <w:rPr>
          <w:rFonts w:ascii="Arial" w:hAnsi="Arial" w:cs="Arial"/>
          <w:rtl w:val="true"/>
        </w:rPr>
        <w:t>האבטחה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פי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להתרחשויות שתוארו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בצוותא עם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יצר </w:t>
      </w:r>
      <w:r>
        <w:rPr>
          <w:rFonts w:ascii="Arial" w:hAnsi="Arial" w:cs="Arial"/>
          <w:rtl w:val="true"/>
        </w:rPr>
        <w:t>מספר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בקבוקי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תבערה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באזור ביתו בכפר קרע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מנת </w:t>
      </w:r>
      <w:r>
        <w:rPr>
          <w:rFonts w:ascii="Arial" w:hAnsi="Arial" w:cs="Arial"/>
          <w:rtl w:val="true"/>
        </w:rPr>
        <w:t>לה</w:t>
      </w:r>
      <w:r>
        <w:rPr>
          <w:rFonts w:ascii="Arial" w:hAnsi="Arial" w:cs="Arial"/>
          <w:rtl w:val="true"/>
        </w:rPr>
        <w:t>שליכם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עמוד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תקשורת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שנמצא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הובילו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בים </w:t>
      </w:r>
      <w:r>
        <w:rPr>
          <w:rFonts w:ascii="Arial" w:hAnsi="Arial" w:cs="Arial"/>
          <w:rtl w:val="true"/>
        </w:rPr>
        <w:t>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הדליקו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והשליכו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הבקבוקים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הבוערים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עמוד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התקשורת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בצמחיה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ובפסולת</w:t>
      </w:r>
      <w:r>
        <w:rPr>
          <w:rFonts w:ascii="Arial" w:hAnsi="Arial" w:cs="Arial"/>
          <w:rtl w:val="true"/>
        </w:rPr>
        <w:t xml:space="preserve"> הסמוכה לעמוד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המדינה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הזכירה</w:t>
      </w:r>
      <w:r>
        <w:rPr>
          <w:rFonts w:ascii="Arial" w:hAnsi="Arial" w:cs="Arial"/>
          <w:rtl w:val="true"/>
        </w:rPr>
        <w:t xml:space="preserve"> ראיות שונות שהוגשו במהלך שמיעת פרשת התביעה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 שלאחר שנשמעה פרשת התביעה במלואה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שנקבע לשמיעת עדות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הוצג הסדר טיעון במסגרתו הודה הנאשם בכתב אישום מתוקן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בביטחונם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שלומם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בריאותם</w:t>
      </w:r>
      <w:r>
        <w:rPr>
          <w:rFonts w:ascii="Arial" w:hAnsi="Arial" w:cs="Arial"/>
          <w:rtl w:val="true"/>
        </w:rPr>
        <w:t xml:space="preserve"> ושלמות גופם של נוסעי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המתלוננת והוריה המבוגרים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עוד שכיוון שמדובר </w:t>
      </w:r>
      <w:r>
        <w:rPr>
          <w:rFonts w:ascii="Arial" w:hAnsi="Arial" w:cs="Arial"/>
          <w:rtl w:val="true"/>
        </w:rPr>
        <w:t>בעבירת</w:t>
      </w:r>
      <w:r>
        <w:rPr>
          <w:rFonts w:ascii="Arial" w:hAnsi="Arial" w:cs="Arial"/>
          <w:rtl w:val="true"/>
        </w:rPr>
        <w:t xml:space="preserve"> טרור נפגע הציבור כולו ושלטון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בהתפרעות נטען לפגיעה בשלום הציבור ובשוטרי משטרת ישראל ונטען לפגיעה בדו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קיום בין הערבים ליהודים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עוד שהמעשים נעשו בתקופת לחימה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המדינה הייתה תחת מתקפת טילים ומעשי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שאין מדובר באירוע אלים רגיל </w:t>
      </w:r>
      <w:r>
        <w:rPr>
          <w:rFonts w:ascii="Arial" w:hAnsi="Arial" w:cs="Arial"/>
          <w:rtl w:val="true"/>
        </w:rPr>
        <w:t>אלא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המוגדרות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כעביר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ממניע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המאבק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להחמיר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שכאלה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יתירה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לאישום השני נטען שנפגעו הערכים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על הרכוש הפרטי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מבנה המשטרה נמצא בבעלות פרטית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ובשמירה על סמלי המדינה ושלטון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</w:t>
      </w:r>
      <w:r>
        <w:rPr>
          <w:rFonts w:ascii="Arial" w:hAnsi="Arial" w:cs="Arial"/>
          <w:rtl w:val="true"/>
        </w:rPr>
        <w:t xml:space="preserve"> השלישי נפגעו הערכים של ביטחון הציבור ורכושו וכן שמירה על שלטון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מתוכננים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אומנם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מראש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יגיע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אולם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החליט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להשתתף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בלינץ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לגבי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והשלישי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לתכנון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בצוותא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אחרים</w:t>
      </w:r>
      <w:r>
        <w:rPr>
          <w:rFonts w:ascii="Arial" w:hAnsi="Arial" w:cs="Arial"/>
          <w:rtl w:val="true"/>
        </w:rPr>
        <w:t xml:space="preserve"> ויש להענישו על </w:t>
      </w:r>
      <w:r>
        <w:rPr>
          <w:rFonts w:ascii="Arial" w:hAnsi="Arial" w:cs="Arial"/>
          <w:rtl w:val="true"/>
        </w:rPr>
        <w:t>מה</w:t>
      </w:r>
      <w:r>
        <w:rPr>
          <w:rFonts w:ascii="Arial" w:hAnsi="Arial" w:cs="Arial"/>
          <w:rtl w:val="true"/>
        </w:rPr>
        <w:t xml:space="preserve"> שהוא </w:t>
      </w:r>
      <w:r>
        <w:rPr>
          <w:rFonts w:ascii="Arial" w:hAnsi="Arial" w:cs="Arial"/>
          <w:rtl w:val="true"/>
        </w:rPr>
        <w:t>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בעצמו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שבוצע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האחרים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שהמעשים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מהמשתתפים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הזין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מעשי</w:t>
      </w:r>
      <w:r>
        <w:rPr>
          <w:rFonts w:ascii="Arial" w:hAnsi="Arial" w:cs="Arial"/>
          <w:rtl w:val="true"/>
        </w:rPr>
        <w:t xml:space="preserve"> האחרים והביא להחמרה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טען</w:t>
      </w:r>
      <w:r>
        <w:rPr>
          <w:rFonts w:ascii="Arial" w:hAnsi="Arial" w:cs="Arial"/>
          <w:rtl w:val="true"/>
        </w:rPr>
        <w:t xml:space="preserve"> עוד שמעשיו של הנאשם עצמו הינם </w:t>
      </w:r>
      <w:r>
        <w:rPr>
          <w:rFonts w:ascii="Arial" w:hAnsi="Arial" w:cs="Arial"/>
          <w:rtl w:val="true"/>
        </w:rPr>
        <w:t>ברף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גבוה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מהאישומים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–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היחיד מבין הפורעים שפגע במו ידיו במתלוננת להבדיל מתקיפת הרכב מבחוץ והיה בין אלה שגרמו נזק לנקודת המשטרה ושרף בפועל את עמוד התקשורת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שנגרמו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נזקים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חמורים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כתוצאה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ובעיקר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פגיעה</w:t>
      </w:r>
      <w:r>
        <w:rPr>
          <w:rFonts w:ascii="Arial" w:hAnsi="Arial" w:cs="Arial"/>
          <w:rtl w:val="true"/>
        </w:rPr>
        <w:t xml:space="preserve"> פיזית </w:t>
      </w:r>
      <w:r>
        <w:rPr>
          <w:rFonts w:ascii="Arial" w:hAnsi="Arial" w:cs="Arial"/>
          <w:rtl w:val="true"/>
        </w:rPr>
        <w:t>ונפשית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במתלוננת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הפנתה בעניין זה לתסקיר קורבן שנערך למתלוננת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עוד שהיה פוטנציאל לנזק חמור עוד יותר והוזכרה עדותה של המתלוננת שהעידה שראתה את המוות מול עיניה והוזכר הסיכון שיש באלימות שננקטת על ידי ההמון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למתקנים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לקיום הנסיבה המחמירה המפורטת </w:t>
      </w:r>
      <w:hyperlink r:id="rId43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10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אכזריות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חריגות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שאפיינו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היה מודע היטב למעשיו ולא חל כל סייג או פגם באשר להבנתו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מבחינת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שאינן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קשורות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שנוכח </w:t>
      </w:r>
      <w:r>
        <w:rPr>
          <w:rFonts w:ascii="Arial" w:hAnsi="Arial" w:cs="Arial"/>
          <w:rtl w:val="true"/>
        </w:rPr>
        <w:t>חומרת</w:t>
      </w:r>
      <w:r>
        <w:rPr>
          <w:rFonts w:ascii="Arial" w:hAnsi="Arial" w:cs="Arial"/>
          <w:rtl w:val="true"/>
        </w:rPr>
        <w:t xml:space="preserve"> ואופי המעשים </w:t>
      </w:r>
      <w:r>
        <w:rPr>
          <w:rFonts w:ascii="Arial" w:hAnsi="Arial" w:cs="Arial"/>
          <w:rtl w:val="true"/>
        </w:rPr>
        <w:t>המהווים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מעשה</w:t>
      </w:r>
      <w:r>
        <w:rPr>
          <w:rFonts w:ascii="Arial" w:hAnsi="Arial" w:cs="Arial"/>
          <w:rtl w:val="true"/>
        </w:rPr>
        <w:t xml:space="preserve">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 כי האינטרס הציבורי גובר על האינטרס הפרטי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</w:t>
      </w:r>
      <w:r>
        <w:rPr>
          <w:rFonts w:ascii="Arial" w:hAnsi="Arial" w:cs="Arial"/>
          <w:rtl w:val="true"/>
        </w:rPr>
        <w:t>שאומנם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</w:t>
      </w:r>
      <w:r>
        <w:rPr>
          <w:rFonts w:ascii="Arial" w:hAnsi="Arial" w:cs="Arial"/>
          <w:rtl w:val="true"/>
        </w:rPr>
        <w:t xml:space="preserve"> עבירות </w:t>
      </w:r>
      <w:r>
        <w:rPr>
          <w:rFonts w:ascii="Arial" w:hAnsi="Arial" w:cs="Arial"/>
          <w:rtl w:val="true"/>
        </w:rPr>
        <w:t>פליליות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קודם</w:t>
      </w:r>
      <w:r>
        <w:rPr>
          <w:rFonts w:ascii="Arial" w:hAnsi="Arial" w:cs="Arial"/>
          <w:rtl w:val="true"/>
        </w:rPr>
        <w:t xml:space="preserve">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הוזכר שמדובר במי שביצע מעשה טרור חמור בתוככי מדינת ישראל כנגד אזרחים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לתסקיר </w:t>
      </w:r>
      <w:r>
        <w:rPr>
          <w:rFonts w:ascii="Arial" w:hAnsi="Arial" w:cs="Arial"/>
          <w:rtl w:val="true"/>
        </w:rPr>
        <w:t xml:space="preserve">שירות המבחן שהוגש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שהנאשם הכחיש </w:t>
      </w:r>
      <w:r>
        <w:rPr>
          <w:rFonts w:ascii="Arial" w:hAnsi="Arial" w:cs="Arial"/>
          <w:rtl w:val="true"/>
        </w:rPr>
        <w:t xml:space="preserve">בפני שירות המבחן </w:t>
      </w:r>
      <w:r>
        <w:rPr>
          <w:rFonts w:ascii="Arial" w:hAnsi="Arial" w:cs="Arial"/>
          <w:rtl w:val="true"/>
        </w:rPr>
        <w:t>מניעים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אידיאולוגיים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למרות שהודה בקיומם במסג</w:t>
      </w:r>
      <w:r>
        <w:rPr>
          <w:rFonts w:ascii="Arial" w:hAnsi="Arial" w:cs="Arial"/>
          <w:rtl w:val="true"/>
        </w:rPr>
        <w:t>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ההודאה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והתמקד במחירים האישיים שהוא עלול לשלם ולא גילה אמפתיה כלפי הנפגעים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צוינו גורמי הסיכון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ביניהם דפוסי חשיבה עברייניים ודפוסים אלימים וקשרים חברתיים שוליים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שאלה הביאו את שירות המבחן להעריך כי קיימת רמת סיכון גבוהה להישנות מעשים כאלה בעתיד וההמלצה </w:t>
      </w:r>
      <w:r>
        <w:rPr>
          <w:rFonts w:ascii="Arial" w:hAnsi="Arial" w:cs="Arial"/>
          <w:rtl w:val="true"/>
        </w:rPr>
        <w:t>להטלת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מוחשית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ומציבת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גבולות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בשלב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מתקדם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פרשת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התביעה</w:t>
      </w:r>
      <w:r>
        <w:rPr>
          <w:rFonts w:ascii="Arial" w:hAnsi="Arial" w:cs="Arial"/>
          <w:rtl w:val="true"/>
        </w:rPr>
        <w:t xml:space="preserve"> והעדתם של נפגעי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בנוגע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אוזכרו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</w:rPr>
          <w:t>55524-06-21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בשיר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28.11.22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באותו מקרה בו</w:t>
      </w:r>
      <w:r>
        <w:rPr>
          <w:rFonts w:ascii="Arial" w:hAnsi="Arial" w:cs="Arial"/>
          <w:rtl w:val="true"/>
        </w:rPr>
        <w:t>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לינץ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</w:t>
      </w:r>
      <w:r>
        <w:rPr>
          <w:rFonts w:ascii="Arial" w:hAnsi="Arial" w:cs="Arial"/>
          <w:rtl w:val="true"/>
        </w:rPr>
        <w:t>פורעים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ערבים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ביהודי</w:t>
      </w:r>
      <w:r>
        <w:rPr>
          <w:rFonts w:ascii="Arial" w:hAnsi="Arial" w:cs="Arial"/>
          <w:rtl w:val="true"/>
        </w:rPr>
        <w:t xml:space="preserve"> בעכו במהלך </w:t>
      </w:r>
      <w:r>
        <w:rPr>
          <w:rFonts w:ascii="Arial" w:hAnsi="Arial" w:cs="Arial"/>
          <w:rtl w:val="true"/>
        </w:rPr>
        <w:t>מבצע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שומר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צעירים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חסמו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כביש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ויידו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הקורבן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יידה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וניפץ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משמשותיו באמצעות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נפגע העבירה</w:t>
      </w:r>
      <w:r>
        <w:rPr>
          <w:rFonts w:ascii="Arial" w:hAnsi="Arial" w:cs="Arial"/>
          <w:rtl w:val="true"/>
        </w:rPr>
        <w:t xml:space="preserve"> יצא מהרכב וניסה להימלט אך הנאשם ופורעים נוספים היכו אותו באמצעות אלות עץ וחפצים נוספים </w:t>
      </w:r>
      <w:r>
        <w:rPr>
          <w:rFonts w:ascii="Arial" w:hAnsi="Arial" w:cs="Arial"/>
          <w:rtl w:val="true"/>
        </w:rPr>
        <w:t>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ממושך</w:t>
      </w:r>
      <w:r>
        <w:rPr>
          <w:rFonts w:ascii="Arial" w:hAnsi="Arial" w:cs="Arial"/>
          <w:rtl w:val="true"/>
        </w:rPr>
        <w:t xml:space="preserve"> ולנפגע העבירה נגרמו חבלות חמורות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האירוע גם הוצת הרכב ונשרף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היה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טרם ניהול ההוכחות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הוגש</w:t>
      </w:r>
      <w:r>
        <w:rPr>
          <w:rFonts w:ascii="Arial" w:hAnsi="Arial" w:cs="Arial"/>
          <w:rtl w:val="true"/>
        </w:rPr>
        <w:t xml:space="preserve"> תסקיר שלילי שכלל הערכת סיכון משמעותית להישנות המעשים ברמת חומרה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8-13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ונגזר עונש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30684-06-21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מוריח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24.11.22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באותו מקרה בוצע לינץ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תושבי טמרה ביהודי במהלך </w:t>
      </w:r>
      <w:r>
        <w:rPr>
          <w:rFonts w:ascii="Arial" w:hAnsi="Arial" w:cs="Arial"/>
          <w:rtl w:val="true"/>
        </w:rPr>
        <w:t>מבצע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שומר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ארבעה</w:t>
      </w:r>
      <w:r>
        <w:rPr>
          <w:rFonts w:ascii="Arial" w:hAnsi="Arial" w:cs="Arial"/>
          <w:rtl w:val="true"/>
        </w:rPr>
        <w:t xml:space="preserve"> נאשמים שלושה השתתפו בהתפרעות בכניסה לעיר ולאחר מכן פגשו בנאשם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נקלע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אזרח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יהודי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והנוכחים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ביניהם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התגודדו מסביב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אבנים</w:t>
      </w:r>
      <w:r>
        <w:rPr>
          <w:rFonts w:ascii="Arial" w:hAnsi="Arial" w:cs="Arial"/>
          <w:rtl w:val="true"/>
        </w:rPr>
        <w:t xml:space="preserve">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חבטו ברכב ברגליהם ובאמצעות חפצים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ניפצו את השמשות וחבלו ב</w:t>
      </w:r>
      <w:r>
        <w:rPr>
          <w:rFonts w:ascii="Arial" w:hAnsi="Arial" w:cs="Arial"/>
          <w:rtl w:val="true"/>
        </w:rPr>
        <w:t>נפגע העבירה</w:t>
      </w:r>
      <w:r>
        <w:rPr>
          <w:rFonts w:ascii="Arial" w:hAnsi="Arial" w:cs="Arial"/>
          <w:rtl w:val="true"/>
        </w:rPr>
        <w:t xml:space="preserve"> תוך ניסיון להוציאו מהרכב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תושבים אחרים חילצו אותו והזעיקו את שירותי ההצלה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הרכב ה</w:t>
      </w:r>
      <w:r>
        <w:rPr>
          <w:rFonts w:ascii="Arial" w:hAnsi="Arial" w:cs="Arial"/>
          <w:rtl w:val="true"/>
        </w:rPr>
        <w:t>וצת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בקורבן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לקחו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בפגיעה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פיזית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שנגרמו לו חבלות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הורשעו בעבירות של מעשה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בכוונה מחמירה וחבלה במזיד ברכב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הנאשמים היו צעירים בני פחות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כל 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30837-06-21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עואד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18.6.23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נוסף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הלינץ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שהוזכר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במסגרת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30684-06-21</w:t>
        </w:r>
      </w:hyperlink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הליך נוהלו הוכחות והנאשם הורשע בעבירות של מעשה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 ממניע של גזענות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לתקיפת שוטר בנסיבות מחמירות ומעשי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חבט ברכב ותקף את המתלונן באמצעות 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ההתפרעות</w:t>
      </w:r>
      <w:r>
        <w:rPr>
          <w:rFonts w:ascii="Arial" w:hAnsi="Arial" w:cs="Arial"/>
          <w:rtl w:val="true"/>
        </w:rPr>
        <w:t xml:space="preserve"> לפני הלינץ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הנאשם הדליק 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וידה אותו לעבר 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בזמן האירוע וללא עבר פלילי וניתן תסקיר שלילי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28246-06-21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עמראני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12.7.22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במהלך </w:t>
      </w:r>
      <w:r>
        <w:rPr>
          <w:rFonts w:ascii="Arial" w:hAnsi="Arial" w:cs="Arial"/>
          <w:rtl w:val="true"/>
        </w:rPr>
        <w:t>מבצע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שומר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החומות</w:t>
      </w:r>
      <w:r>
        <w:rPr>
          <w:rFonts w:ascii="Arial" w:hAnsi="Arial" w:cs="Arial"/>
          <w:rtl w:val="true"/>
        </w:rPr>
        <w:t xml:space="preserve"> הנאשם השתתף בהתפרעויות בשגב שלום במסגרתן השליך אבנים לעבר רכבים וניידות שנסעו בכביש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נקלע </w:t>
      </w:r>
      <w:r>
        <w:rPr>
          <w:rFonts w:ascii="Arial" w:hAnsi="Arial" w:cs="Arial"/>
          <w:rtl w:val="true"/>
        </w:rPr>
        <w:t>אזרח</w:t>
      </w:r>
      <w:r>
        <w:rPr>
          <w:rFonts w:ascii="Arial" w:hAnsi="Arial" w:cs="Arial"/>
          <w:rtl w:val="true"/>
        </w:rPr>
        <w:t xml:space="preserve"> יהודי ונחסם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מתפרעים שזיהו אותו כיהודי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יידו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הוצא מהרכב והוכה </w:t>
      </w:r>
      <w:r>
        <w:rPr>
          <w:rFonts w:ascii="Arial" w:hAnsi="Arial" w:cs="Arial"/>
          <w:rtl w:val="true"/>
        </w:rPr>
        <w:t>באמצעות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כוחות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משטרה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שהגיעו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חילצו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שנגרמו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</w:t>
      </w:r>
      <w:r>
        <w:rPr>
          <w:rFonts w:ascii="Arial" w:hAnsi="Arial" w:cs="Arial"/>
          <w:rtl w:val="true"/>
        </w:rPr>
        <w:t xml:space="preserve"> אבן לעבר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במזיד לרכב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התפרעות והפרת הוראה חוקית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הפר מעצר בית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היה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הרשעה אחת קודמת בעבירת שוד והיה במעצר בית בזמן שיצא להתפרעויות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40016-06-231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5.3.23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דובר במקרה שכלל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נגד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באישום הראשון </w:t>
      </w:r>
      <w:r>
        <w:rPr>
          <w:rFonts w:ascii="Arial" w:hAnsi="Arial" w:cs="Arial"/>
          <w:rtl w:val="true"/>
        </w:rPr>
        <w:t>נגד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תק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פ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זוג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יהודים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שנסעו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נסע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שמע צעקות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מתנחל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מתנחל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ובלם את הרכב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כתוצאה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התנגש</w:t>
      </w:r>
      <w:r>
        <w:rPr>
          <w:rFonts w:ascii="Arial" w:hAnsi="Arial" w:cs="Arial"/>
          <w:rtl w:val="true"/>
        </w:rPr>
        <w:t xml:space="preserve"> ברכ</w:t>
      </w:r>
      <w:r>
        <w:rPr>
          <w:rFonts w:ascii="Arial" w:hAnsi="Arial" w:cs="Arial"/>
          <w:rtl w:val="true"/>
        </w:rPr>
        <w:t>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המתפרעים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ושברו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השמשה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האחורית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הצליחה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לברוח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והגבר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נתפס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המתפרעים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שהחלו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להכות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והפילו</w:t>
      </w:r>
      <w:r>
        <w:rPr>
          <w:rFonts w:ascii="Arial" w:hAnsi="Arial" w:cs="Arial"/>
          <w:rtl w:val="true"/>
        </w:rPr>
        <w:t>הו</w:t>
      </w:r>
      <w:r>
        <w:rPr>
          <w:rFonts w:ascii="Arial" w:hAnsi="Arial" w:cs="Arial"/>
          <w:rtl w:val="true"/>
        </w:rPr>
        <w:t xml:space="preserve"> ארצה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לתקיפה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האירוע המ</w:t>
      </w:r>
      <w:r>
        <w:rPr>
          <w:rFonts w:ascii="Arial" w:hAnsi="Arial" w:cs="Arial"/>
          <w:rtl w:val="true"/>
        </w:rPr>
        <w:t>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מחפץ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והצליח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להימלט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נגרמו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פצעי דקירה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בעבירות של מעשה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בכוונה מחמירה והתפרעות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באישום השני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התגודדו עם אחרים בשער הפרחים וקשרו קשר לי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בים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אוטובוס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אגד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אוטובוס התקרב למחסום שהו</w:t>
      </w:r>
      <w:r>
        <w:rPr>
          <w:rFonts w:ascii="Arial" w:hAnsi="Arial" w:cs="Arial"/>
          <w:rtl w:val="true"/>
        </w:rPr>
        <w:t>נח</w:t>
      </w:r>
      <w:r>
        <w:rPr>
          <w:rFonts w:ascii="Arial" w:hAnsi="Arial" w:cs="Arial"/>
          <w:rtl w:val="true"/>
        </w:rPr>
        <w:t xml:space="preserve"> החבורה החלה לי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דות</w:t>
      </w:r>
      <w:r>
        <w:rPr>
          <w:rFonts w:ascii="Arial" w:hAnsi="Arial" w:cs="Arial"/>
          <w:rtl w:val="true"/>
        </w:rPr>
        <w:t xml:space="preserve"> אבנים לעברו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הדליקו 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בים ויידו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בים פגע באוטובוס אך לא התקלח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ascii="Arial" w:hAnsi="Arial" w:cs="Arial"/>
          <w:rtl w:val="true"/>
        </w:rPr>
        <w:t>הורשעו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חלופת</w:t>
      </w:r>
      <w:r>
        <w:rPr>
          <w:rFonts w:ascii="Arial" w:hAnsi="Arial" w:cs="Arial"/>
          <w:rtl w:val="true"/>
        </w:rPr>
        <w:t xml:space="preserve"> הניסיון לפי </w:t>
      </w:r>
      <w:hyperlink r:id="rId5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ויידוי אבן נגד כלי תחבורה וחבלה במזיד ברכב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באישום השלישי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השתתף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ביידוי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אבנים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יהודים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ממניע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גזעני</w:t>
      </w:r>
      <w:r>
        <w:rPr>
          <w:rFonts w:ascii="Arial" w:hAnsi="Arial" w:cs="Arial"/>
          <w:rtl w:val="true"/>
        </w:rPr>
        <w:t xml:space="preserve"> ובגין האירוע</w:t>
      </w:r>
      <w:r>
        <w:rPr>
          <w:rFonts w:ascii="Arial" w:hAnsi="Arial" w:cs="Arial"/>
          <w:rtl w:val="true"/>
        </w:rPr>
        <w:t xml:space="preserve"> הורשע בעבירה של מעשה פזיזות ממניע של גזענות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אירוע הלינץ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אירוע האוטובוס וה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השלישי נגזרו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אירוע הלינץ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והאוטובוס נגזרו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28.11.22</w:t>
      </w:r>
      <w:r>
        <w:rPr>
          <w:rtl w:val="true"/>
        </w:rPr>
        <w:t xml:space="preserve">);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הלינץ</w:t>
      </w:r>
      <w:r>
        <w:rPr>
          <w:rtl w:val="true"/>
        </w:rPr>
        <w:t xml:space="preserve">'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40016-06-231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נואף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נואף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נואף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רמי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הוזכרה </w:t>
      </w:r>
      <w:r>
        <w:rPr>
          <w:rFonts w:ascii="Arial" w:hAnsi="Arial" w:cs="Arial"/>
          <w:rtl w:val="true"/>
        </w:rPr>
        <w:t>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23572-07-18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שיכה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10.7.19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דובר ב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מעשה</w:t>
      </w:r>
      <w:r>
        <w:rPr>
          <w:rFonts w:ascii="Arial" w:hAnsi="Arial" w:cs="Arial"/>
          <w:rtl w:val="true"/>
        </w:rPr>
        <w:t xml:space="preserve"> טרור וניסיון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בנסיבות מחמירות ונשיאת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חבר להת</w:t>
      </w:r>
      <w:r>
        <w:rPr>
          <w:rFonts w:ascii="Arial" w:hAnsi="Arial" w:cs="Arial"/>
          <w:rtl w:val="true"/>
        </w:rPr>
        <w:t>ארגנות</w:t>
      </w:r>
      <w:r>
        <w:rPr>
          <w:rFonts w:ascii="Arial" w:hAnsi="Arial" w:cs="Arial"/>
          <w:rtl w:val="true"/>
        </w:rPr>
        <w:t xml:space="preserve"> עם מספר אנשים שיידו 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בים לעבר עמדת פילבוקס הסמוכה למחסום שועפאט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1465/20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19.3.20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במקרה זה שני נאשמים קטינים י</w:t>
      </w:r>
      <w:r>
        <w:rPr>
          <w:rFonts w:ascii="Arial" w:hAnsi="Arial" w:cs="Arial"/>
          <w:rtl w:val="true"/>
        </w:rPr>
        <w:t>יצרו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</w:t>
      </w:r>
      <w:r>
        <w:rPr>
          <w:rFonts w:ascii="Arial" w:hAnsi="Arial" w:cs="Arial"/>
          <w:rtl w:val="true"/>
        </w:rPr>
        <w:t>והשליכו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כוחות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המשטרה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וגרמו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זיקוק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השוטרים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שרדפו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פעולה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למטרות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5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ומעשה</w:t>
      </w:r>
      <w:r>
        <w:rPr>
          <w:rFonts w:ascii="Arial" w:hAnsi="Arial" w:cs="Arial"/>
          <w:rtl w:val="true"/>
        </w:rPr>
        <w:t xml:space="preserve"> טרור של חבלה בכוונה מחמירה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5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ascii="Arial" w:hAnsi="Arial" w:cs="Arial"/>
          <w:rtl w:val="true"/>
        </w:rPr>
        <w:t xml:space="preserve"> </w:t>
      </w:r>
      <w:hyperlink r:id="rId56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המאבק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בערכאה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הדיונית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נידונו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ובערעור 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הוחמר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1466/20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22.7.20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נאשם קטין הורשע בעבירות של ניסיון הצתה בנסיבות מעשה טר</w:t>
      </w:r>
      <w:r>
        <w:rPr>
          <w:rFonts w:ascii="Arial" w:hAnsi="Arial" w:cs="Arial"/>
          <w:rtl w:val="true"/>
        </w:rPr>
        <w:t>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והפרת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ושני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נוספים הצטיידו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בים שהשליכו על בית בשכונת סלוואן בה מתגוררת משפחה יהודית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המעשים בוצעו תוך הפרת תנאים מגבילים שחלו על הנאשם שהיה אמור להיות במעצר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הערכאה הדיונית גזרה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והעונש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סר בבית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הפנתה לפסיקה ביחס לעבירות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המאבק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והוזכר</w:t>
      </w:r>
      <w:r>
        <w:rPr>
          <w:rFonts w:ascii="Arial" w:hAnsi="Arial" w:cs="Arial"/>
          <w:rtl w:val="true"/>
        </w:rPr>
        <w:t xml:space="preserve"> שמדובר בשינוי חקיקה  </w:t>
      </w:r>
      <w:r>
        <w:rPr>
          <w:rFonts w:ascii="Arial" w:hAnsi="Arial" w:cs="Arial"/>
          <w:rtl w:val="true"/>
        </w:rPr>
        <w:t xml:space="preserve">במסגרתו </w:t>
      </w:r>
      <w:r>
        <w:rPr>
          <w:rFonts w:ascii="Arial" w:hAnsi="Arial" w:cs="Arial"/>
          <w:rtl w:val="true"/>
        </w:rPr>
        <w:t>הוחמרה הענישה לגבי העבירות הכלולות 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1382/19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דיר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22.1.20</w:t>
      </w:r>
      <w:r>
        <w:rPr>
          <w:rFonts w:cs="Arial" w:ascii="Arial" w:hAnsi="Arial"/>
          <w:rtl w:val="true"/>
        </w:rPr>
        <w:t xml:space="preserve">);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3708/21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13.7.21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להליך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למתח</w:t>
      </w:r>
      <w:r>
        <w:rPr>
          <w:rFonts w:ascii="Arial" w:hAnsi="Arial" w:cs="Arial"/>
          <w:rtl w:val="true"/>
        </w:rPr>
        <w:t>מי ענישה כדלקמן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הראשון</w:t>
      </w:r>
      <w:r>
        <w:rPr>
          <w:rFonts w:ascii="Arial" w:hAnsi="Arial" w:cs="Arial"/>
          <w:rtl w:val="true"/>
        </w:rPr>
        <w:t xml:space="preserve"> –</w:t>
      </w:r>
      <w:r>
        <w:rPr>
          <w:rFonts w:ascii="Arial" w:hAnsi="Arial" w:cs="Arial"/>
          <w:rtl w:val="true"/>
        </w:rPr>
        <w:t xml:space="preserve"> מתחם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ענישה שבין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השלישי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ענישה שבין </w:t>
      </w:r>
      <w:r>
        <w:rPr>
          <w:rFonts w:cs="Arial" w:ascii="Arial" w:hAnsi="Arial"/>
        </w:rPr>
        <w:t>3-5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התבקש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לקבוע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יחס לכל אחד מהאישומים </w:t>
      </w:r>
      <w:r>
        <w:rPr>
          <w:rFonts w:ascii="Arial" w:hAnsi="Arial" w:cs="Arial"/>
          <w:rtl w:val="true"/>
        </w:rPr>
        <w:t>ולצבור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ששלושת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מבוססים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הודאתו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אצל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והמשטרה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שהמתלוננת הבהירה שלא ידעה מי בדיוק פגע ברכב כי היו המון צעירים שנכחו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ידעה לזהות את הנאשם כזה שפגע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שההתפרעויות</w:t>
      </w:r>
      <w:r>
        <w:rPr>
          <w:rFonts w:ascii="Arial" w:hAnsi="Arial" w:cs="Arial"/>
          <w:rtl w:val="true"/>
        </w:rPr>
        <w:t xml:space="preserve"> שהשתוללו בכל רחבי הארץ היו ספונטניות ללא תכנון מוקדם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בחור צעיר בלי עבר פלילי וזאת הסתבכותו הראשונה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שמשפחתו של הנאשם נורמטיבית והיא נרתמת לעזרתו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שהמהומות במגזר הערבי נגד המשטר היו </w:t>
      </w:r>
      <w:r>
        <w:rPr>
          <w:rFonts w:ascii="Arial" w:hAnsi="Arial" w:cs="Arial"/>
          <w:rtl w:val="true"/>
        </w:rPr>
        <w:t>תגובת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נגד</w:t>
      </w:r>
      <w:r>
        <w:rPr>
          <w:rFonts w:ascii="Arial" w:hAnsi="Arial" w:cs="Arial"/>
          <w:rtl w:val="true"/>
        </w:rPr>
        <w:t xml:space="preserve"> לתפיסת העולם שהדריכה את המדינה ביחסים בין המדינה לבין המ</w:t>
      </w:r>
      <w:r>
        <w:rPr>
          <w:rFonts w:ascii="Arial" w:hAnsi="Arial" w:cs="Arial"/>
          <w:rtl w:val="true"/>
        </w:rPr>
        <w:t>יעוט</w:t>
      </w:r>
      <w:r>
        <w:rPr>
          <w:rFonts w:ascii="Arial" w:hAnsi="Arial" w:cs="Arial"/>
          <w:rtl w:val="true"/>
        </w:rPr>
        <w:t xml:space="preserve"> הערבי בעשור האחרון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שהמעשים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אינם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מקובלים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</w:t>
      </w:r>
      <w:r>
        <w:rPr>
          <w:rFonts w:ascii="Arial" w:hAnsi="Arial" w:cs="Arial"/>
          <w:rtl w:val="true"/>
        </w:rPr>
        <w:t>משפחת</w:t>
      </w:r>
      <w:r>
        <w:rPr>
          <w:rFonts w:ascii="Arial" w:hAnsi="Arial" w:cs="Arial"/>
          <w:rtl w:val="true"/>
        </w:rPr>
        <w:t xml:space="preserve"> 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אוכלוס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הערבית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שהושגה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הרתעה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חודש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מרץ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נהרו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צעירים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להפר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בעת מתיחות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שהמצב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נקלעו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צעירים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רבים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הינו</w:t>
      </w:r>
      <w:r>
        <w:rPr>
          <w:rFonts w:ascii="Arial" w:hAnsi="Arial" w:cs="Arial"/>
          <w:rtl w:val="true"/>
        </w:rPr>
        <w:t xml:space="preserve"> בשל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ואקום אדיר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המגזר הערבי לבין המדינה שמצריך שיקום ותכניות שיקום לצעירים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שהמאשימה עתרה למתחמים מרחיקי לכת ללא צפי עתידי לשיקום או 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ששקלול כל העבירות בהן הורשע הנאשם מביא למתחם שבין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לאור  הנסיבות בהן אין כל זיהוי המצביע על הנאשם כזה שביצע את העבירות חוץ מאשר הודאתו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הסנגור התייחס לפסיקה אליה הפנתה המאשימה </w:t>
      </w:r>
      <w:r>
        <w:rPr>
          <w:rtl w:val="true"/>
        </w:rPr>
        <w:t>ו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6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55524-06-21</w:t>
        </w:r>
      </w:hyperlink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30684-06-21</w:t>
        </w:r>
      </w:hyperlink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28246-06-21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אליו הפנתה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</w:t>
      </w:r>
      <w:r>
        <w:rPr>
          <w:rFonts w:ascii="Arial" w:hAnsi="Arial" w:cs="Arial"/>
          <w:rtl w:val="true"/>
        </w:rPr>
        <w:t>הנפגע הוצא מהרכב והוטח על הרצפה ונחבלה קשות בשונה מהמקרה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שכל פסקי הדין שהובאו על ידי המדינה מתארים אירועים קשים יותר בהם נגרמו למתלוננים חבלות 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שהעונש שנפסק ב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5633/22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העליון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שנפסק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שהשיטור הקהילתי לא חזר לפעול בשל נסיבה ארצית שלא קשורה בנאשם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הנמוך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</w:t>
      </w:r>
      <w:r>
        <w:rPr>
          <w:rFonts w:ascii="Arial" w:hAnsi="Arial" w:cs="Arial"/>
          <w:rtl w:val="true"/>
        </w:rPr>
        <w:t xml:space="preserve"> העובדה שהנאשם קיבל אחריות על מע</w:t>
      </w:r>
      <w:r>
        <w:rPr>
          <w:rFonts w:ascii="Arial" w:hAnsi="Arial" w:cs="Arial"/>
          <w:rtl w:val="true"/>
        </w:rPr>
        <w:t>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לאפשר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לו</w:t>
      </w:r>
      <w:r>
        <w:rPr>
          <w:rFonts w:ascii="Arial" w:hAnsi="Arial" w:cs="Arial"/>
          <w:rtl w:val="true"/>
        </w:rPr>
        <w:t xml:space="preserve"> להשתקם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התבקש שלא להטיל קנס או פיצוי לאור מצבו הכלכלי הדחוק של הנאשם ומשפחתו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שירות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טרם מעצרו </w:t>
      </w:r>
      <w:r>
        <w:rPr>
          <w:rFonts w:ascii="Arial" w:hAnsi="Arial" w:cs="Arial"/>
          <w:rtl w:val="true"/>
        </w:rPr>
        <w:t>התגורר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בכפר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קרע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ועבד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כסבל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באשדוד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סיים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לימוד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תעודת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סבל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תלמידים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אחרים</w:t>
      </w:r>
      <w:r>
        <w:rPr>
          <w:rFonts w:ascii="Arial" w:hAnsi="Arial" w:cs="Arial"/>
          <w:rtl w:val="true"/>
        </w:rPr>
        <w:t xml:space="preserve"> בתקופת בית הספר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עובדת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במפעל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פרחים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ונושאת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גידול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היחיד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מעורב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התסקיר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בתפיסות</w:t>
      </w:r>
      <w:r>
        <w:rPr>
          <w:rFonts w:ascii="Arial" w:hAnsi="Arial" w:cs="Arial"/>
          <w:rtl w:val="true"/>
        </w:rPr>
        <w:t xml:space="preserve"> עולם אידיאולוגיות שתומכות </w:t>
      </w:r>
      <w:r>
        <w:rPr>
          <w:rFonts w:ascii="Arial" w:hAnsi="Arial" w:cs="Arial"/>
          <w:rtl w:val="true"/>
        </w:rPr>
        <w:t>בפגיעה</w:t>
      </w:r>
      <w:r>
        <w:rPr>
          <w:rFonts w:ascii="Arial" w:hAnsi="Arial" w:cs="Arial"/>
          <w:rtl w:val="true"/>
        </w:rPr>
        <w:t xml:space="preserve"> במדינה וטען שלא שייך לארגון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תחושות שייכות למדינה וציין שהוא מקיים אינטראקציות עם המגזר היהודי לאורך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בפני שירות המבחן הודה בביצוע העבירות </w:t>
      </w:r>
      <w:r>
        <w:rPr>
          <w:rFonts w:ascii="Arial" w:hAnsi="Arial" w:cs="Arial"/>
          <w:rtl w:val="true"/>
        </w:rPr>
        <w:t>וטען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שהבין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שיושבת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הבין את חומרת מעשיו וברח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לאישו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השני והשלישי שיתף כי באותה תקופה מתוחה במדינה הוא חש מחויבות חברתית ל</w:t>
      </w:r>
      <w:r>
        <w:rPr>
          <w:rFonts w:ascii="Arial" w:hAnsi="Arial" w:cs="Arial"/>
          <w:rtl w:val="true"/>
        </w:rPr>
        <w:t>קחת</w:t>
      </w:r>
      <w:r>
        <w:rPr>
          <w:rFonts w:ascii="Arial" w:hAnsi="Arial" w:cs="Arial"/>
          <w:rtl w:val="true"/>
        </w:rPr>
        <w:t xml:space="preserve"> חלק בפרעות אלימות כלפי גורמי האכיפה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בשיחה עם שירות המבחן היה עסוק במחירים שהוא משלם בגין העבירות </w:t>
      </w:r>
      <w:r>
        <w:rPr>
          <w:rFonts w:ascii="Arial" w:hAnsi="Arial" w:cs="Arial"/>
          <w:rtl w:val="true"/>
        </w:rPr>
        <w:t>ופחות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במחשבות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לנפגעי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אליהם</w:t>
      </w:r>
      <w:r>
        <w:rPr>
          <w:rFonts w:ascii="Arial" w:hAnsi="Arial" w:cs="Arial"/>
          <w:rtl w:val="true"/>
        </w:rPr>
        <w:t xml:space="preserve"> הייתה התייחסות </w:t>
      </w:r>
      <w:r>
        <w:rPr>
          <w:rFonts w:ascii="Arial" w:hAnsi="Arial" w:cs="Arial"/>
          <w:rtl w:val="true"/>
        </w:rPr>
        <w:t>מצומצמת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תואר כי הנאשם</w:t>
      </w:r>
      <w:r>
        <w:rPr>
          <w:rFonts w:ascii="Arial" w:hAnsi="Arial" w:cs="Arial"/>
          <w:rtl w:val="true"/>
        </w:rPr>
        <w:t xml:space="preserve"> אינו תופס את </w:t>
      </w:r>
      <w:r>
        <w:rPr>
          <w:rFonts w:ascii="Arial" w:hAnsi="Arial" w:cs="Arial"/>
          <w:rtl w:val="true"/>
        </w:rPr>
        <w:t>עצמו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כבעל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דפוסים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לתפיסתו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</w:t>
      </w:r>
      <w:r>
        <w:rPr>
          <w:rFonts w:ascii="Arial" w:hAnsi="Arial" w:cs="Arial"/>
          <w:rtl w:val="true"/>
        </w:rPr>
        <w:t xml:space="preserve"> זקוק לטיפול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המבחן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התרשם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מדפוסים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חשיבה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עבריינית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ולגיטימציה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להתנהלותו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במדינה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כן מ</w:t>
      </w:r>
      <w:r>
        <w:rPr>
          <w:rFonts w:ascii="Arial" w:hAnsi="Arial" w:cs="Arial"/>
          <w:rtl w:val="true"/>
        </w:rPr>
        <w:t>חוסר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מסוגלות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לגלות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מסוימת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לחומרת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התנהגותו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ומשמעות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בפגיעה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התגלתה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אמפתיה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הקורבנות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לגורמי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הסיכוי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נלקח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בחשבון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שתיפקד</w:t>
      </w:r>
      <w:r>
        <w:rPr>
          <w:rFonts w:ascii="Arial" w:hAnsi="Arial" w:cs="Arial"/>
          <w:rtl w:val="true"/>
        </w:rPr>
        <w:t xml:space="preserve"> בצורה מטיבה ויציבה טרם ביצוע העבירות והוא נעדר הרשעות קודמות וכי יש לו מחויבות כלפי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להערכת הסיכון הוערך כי קיימת רמת סיכון גבוהה להישנות אלימה עוברת חוק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בסו</w:t>
      </w:r>
      <w:r>
        <w:rPr>
          <w:rFonts w:ascii="Arial" w:hAnsi="Arial" w:cs="Arial"/>
          <w:rtl w:val="true"/>
        </w:rPr>
        <w:t>פו של דבר</w:t>
      </w:r>
      <w:r>
        <w:rPr>
          <w:rFonts w:ascii="Arial" w:hAnsi="Arial" w:cs="Arial"/>
          <w:rtl w:val="true"/>
        </w:rPr>
        <w:t xml:space="preserve"> הומלץ על ענישה מוחשית ומצ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בת גבולות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נפגעת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תוארה</w:t>
      </w:r>
      <w:r>
        <w:rPr>
          <w:rFonts w:ascii="Arial" w:hAnsi="Arial" w:cs="Arial"/>
          <w:rtl w:val="true"/>
        </w:rPr>
        <w:t xml:space="preserve"> התרשמות שהמתלוננת מתמודדת עם תסמינים פוסט טראומטיים בעקבות האירוע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</w:t>
      </w:r>
      <w:r>
        <w:rPr>
          <w:rFonts w:ascii="Arial" w:hAnsi="Arial" w:cs="Arial"/>
          <w:rtl w:val="true"/>
        </w:rPr>
        <w:t>שליכים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הרגשי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תפקודה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ותואר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שעיקר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הנזקים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נפשיים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לטיפול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ושיקום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תוארו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תהליכי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טיפול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התרשמות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תפקדה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היטב</w:t>
      </w:r>
      <w:r>
        <w:rPr>
          <w:rFonts w:ascii="Arial" w:hAnsi="Arial" w:cs="Arial"/>
          <w:rtl w:val="true"/>
        </w:rPr>
        <w:t xml:space="preserve"> לאורך חייה במישור התעסוקתי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משפחתי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ושהפגיעה הקשה בה ובהוריה על ידי הנאשם ואחרים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המפגש הבלתי צפוי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אלים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לאומני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תוך </w:t>
      </w:r>
      <w:r>
        <w:rPr>
          <w:rFonts w:ascii="Arial" w:hAnsi="Arial" w:cs="Arial"/>
          <w:rtl w:val="true"/>
        </w:rPr>
        <w:t>חשיפתה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לסכנת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חיים</w:t>
      </w:r>
      <w:r>
        <w:rPr>
          <w:rFonts w:ascii="Arial" w:hAnsi="Arial" w:cs="Arial"/>
          <w:rtl w:val="true"/>
        </w:rPr>
        <w:t xml:space="preserve"> 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מלווה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וגורמת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במצב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תמידי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חרדה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קיומית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ומתח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שהמתלוננת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מתקשה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להשלים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השינויים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משקיעה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כוחות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ואמצעים</w:t>
      </w:r>
      <w:r>
        <w:rPr>
          <w:rFonts w:ascii="Arial" w:hAnsi="Arial" w:cs="Arial"/>
          <w:rtl w:val="true"/>
        </w:rPr>
        <w:t xml:space="preserve"> לשמר תחושת שליטה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שכאשר </w:t>
      </w:r>
      <w:r>
        <w:rPr>
          <w:rFonts w:ascii="Arial" w:hAnsi="Arial" w:cs="Arial"/>
          <w:rtl w:val="true"/>
        </w:rPr>
        <w:t>הקשיים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הרגשיים</w:t>
      </w:r>
      <w:r>
        <w:rPr>
          <w:rFonts w:ascii="Arial" w:hAnsi="Arial" w:cs="Arial"/>
          <w:rtl w:val="true"/>
        </w:rPr>
        <w:t xml:space="preserve"> שמלווים אותה לא מקבלים מענה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הוערך כי המתלוננת זקוקה לטיפול ייעודי בתחום </w:t>
      </w:r>
      <w:r>
        <w:rPr>
          <w:rFonts w:ascii="Arial" w:hAnsi="Arial" w:cs="Arial"/>
          <w:rtl w:val="true"/>
        </w:rPr>
        <w:t>ההתמודדות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טראומה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פיצוי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כספי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לטובת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המתלוננת</w:t>
      </w:r>
      <w:r>
        <w:rPr>
          <w:rFonts w:ascii="Arial" w:hAnsi="Arial" w:cs="Arial"/>
          <w:rtl w:val="true"/>
        </w:rPr>
        <w:t xml:space="preserve"> כחלק מההכרה החברתית והמשפטית בפגיעה בה ועל מנת שתוכל לעשות בו שימוש לצרכי שיקום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עצור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6.6.21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ללא עבר פלילי קודם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החברתיים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שנפגעו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כתוצאה ממעשי הנאשם </w:t>
      </w:r>
      <w:r>
        <w:rPr>
          <w:rFonts w:ascii="Arial" w:hAnsi="Arial" w:cs="Arial"/>
          <w:rtl w:val="true"/>
        </w:rPr>
        <w:t>באישום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כבוד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ושלמות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ושמירה</w:t>
      </w:r>
      <w:r>
        <w:rPr>
          <w:rFonts w:ascii="Arial" w:hAnsi="Arial" w:cs="Arial"/>
          <w:rtl w:val="true"/>
        </w:rPr>
        <w:t xml:space="preserve"> על שלטון החוק והסדר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אופי הפגיעות ומהות העבירות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שכללו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מדובר בפגיעה קשה בערכים מוגנים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ברור לכל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מתוקנת</w:t>
      </w:r>
      <w:r>
        <w:rPr>
          <w:rFonts w:ascii="Arial" w:hAnsi="Arial" w:cs="Arial"/>
          <w:rtl w:val="true"/>
        </w:rPr>
        <w:t xml:space="preserve"> אינה יכולה לסבול תופעות של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ומעשי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לינץ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כלפי </w:t>
      </w:r>
      <w:r>
        <w:rPr>
          <w:rFonts w:ascii="Arial" w:hAnsi="Arial" w:cs="Arial"/>
          <w:rtl w:val="true"/>
        </w:rPr>
        <w:t>אזרחים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תמימים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>בשל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השתייכותם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הלאומית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וזאת ביתר שאת בעת תקופה של מתיחות ב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טחונית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נפגע</w:t>
      </w:r>
      <w:r>
        <w:rPr>
          <w:rFonts w:ascii="Arial" w:hAnsi="Arial" w:cs="Arial"/>
          <w:rtl w:val="true"/>
        </w:rPr>
        <w:t>ו הערכים החברתיים המוגנים של</w:t>
      </w:r>
      <w:r>
        <w:rPr>
          <w:rFonts w:ascii="Arial" w:hAnsi="Arial" w:cs="Arial"/>
          <w:rtl w:val="true"/>
        </w:rPr>
        <w:t xml:space="preserve"> שמירה על הרכוש וסמלי שלטון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פגיעה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בערכים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המוגנים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השלישי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נפגעו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הערכים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על הרכוש</w:t>
      </w:r>
      <w:r>
        <w:rPr>
          <w:rFonts w:ascii="Arial" w:hAnsi="Arial" w:cs="Arial"/>
          <w:rtl w:val="true"/>
        </w:rPr>
        <w:t xml:space="preserve"> והביטחון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לאישום</w:t>
      </w:r>
      <w:r>
        <w:rPr>
          <w:rFonts w:ascii="Arial" w:hAnsi="Arial" w:cs="Arial"/>
          <w:rtl w:val="true"/>
        </w:rPr>
        <w:t xml:space="preserve"> הראשון לא קדם תכנון מוקדם </w:t>
      </w:r>
      <w:r>
        <w:rPr>
          <w:rFonts w:ascii="Arial" w:hAnsi="Arial" w:cs="Arial"/>
          <w:rtl w:val="true"/>
        </w:rPr>
        <w:t>משמעותי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ואולם</w:t>
      </w:r>
      <w:r>
        <w:rPr>
          <w:rFonts w:ascii="Arial" w:hAnsi="Arial" w:cs="Arial"/>
          <w:rtl w:val="true"/>
        </w:rPr>
        <w:t xml:space="preserve"> מדובר באירוע כולל שנמשך מספר שעות </w:t>
      </w:r>
      <w:r>
        <w:rPr>
          <w:rFonts w:ascii="Arial" w:hAnsi="Arial" w:cs="Arial"/>
          <w:rtl w:val="true"/>
        </w:rPr>
        <w:t>וביחס</w:t>
      </w:r>
      <w:r>
        <w:rPr>
          <w:rFonts w:ascii="Arial" w:hAnsi="Arial" w:cs="Arial"/>
          <w:rtl w:val="true"/>
        </w:rPr>
        <w:t xml:space="preserve"> ללינץ</w:t>
      </w:r>
      <w:r>
        <w:rPr>
          <w:rFonts w:cs="Arial" w:ascii="Arial" w:hAnsi="Arial"/>
          <w:rtl w:val="true"/>
        </w:rPr>
        <w:t xml:space="preserve">' - </w:t>
      </w:r>
      <w:r>
        <w:rPr>
          <w:rFonts w:ascii="Arial" w:hAnsi="Arial" w:cs="Arial"/>
          <w:rtl w:val="true"/>
        </w:rPr>
        <w:t>מהרגע</w:t>
      </w:r>
      <w:r>
        <w:rPr>
          <w:rFonts w:ascii="Arial" w:hAnsi="Arial" w:cs="Arial"/>
          <w:rtl w:val="true"/>
        </w:rPr>
        <w:t xml:space="preserve"> שההמון סגר על רכבם של </w:t>
      </w:r>
      <w:r>
        <w:rPr>
          <w:rFonts w:ascii="Arial" w:hAnsi="Arial" w:cs="Arial"/>
          <w:rtl w:val="true"/>
        </w:rPr>
        <w:t>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נטל חלק פעיל </w:t>
      </w:r>
      <w:r>
        <w:rPr>
          <w:rFonts w:ascii="Arial" w:hAnsi="Arial" w:cs="Arial"/>
          <w:rtl w:val="true"/>
        </w:rPr>
        <w:t>ואף</w:t>
      </w:r>
      <w:r>
        <w:rPr>
          <w:rFonts w:ascii="Arial" w:hAnsi="Arial" w:cs="Arial"/>
          <w:rtl w:val="true"/>
        </w:rPr>
        <w:t xml:space="preserve"> פעיל ביותר במעשים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נגרמו נזקים גופניים למתלוננת ולהוריה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נזקים נפשיים כעולה מתסקיר הנפגעת שהוגש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נזק לרכבה של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להדגיש ש</w:t>
      </w:r>
      <w:r>
        <w:rPr>
          <w:rFonts w:ascii="Arial" w:hAnsi="Arial" w:cs="Arial"/>
          <w:rtl w:val="true"/>
        </w:rPr>
        <w:t>לאירוע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פוטנציאל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גדול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לנזקים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שאירעו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ואף פוטנציאל לגרימת מותם של הקורבנות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</w:t>
      </w:r>
      <w:r>
        <w:rPr>
          <w:rFonts w:ascii="Arial" w:hAnsi="Arial" w:cs="Arial"/>
          <w:rtl w:val="true"/>
        </w:rPr>
        <w:t>עדותה של המתלוננת הבהירה כי אילולא הצליחה בסופו של דבר להיחלץ מידי ההמון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האירוע יכול היה בנקל להסתיים במותם של המתלוננת והוריה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חל סייג לאחריות והנאשם </w:t>
      </w:r>
      <w:r>
        <w:rPr>
          <w:rFonts w:ascii="Arial" w:hAnsi="Arial" w:cs="Arial"/>
          <w:rtl w:val="true"/>
        </w:rPr>
        <w:t>נושא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בלעדי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האישומים השני והשלישי קיים רכיב גדול יותר של תכנון מוקדם כאשר אלה מהווים אירועים חמורים פחות מהאישום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במסגרתם נגרמו נזקים לרכוש בלבד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מבלי להמעיט בחומרת הדבר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טיב האירועים ומאפייני התקיפה שבוצעה כלפי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הקשור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מתקיימת הנסיבה המחמירה המנויה </w:t>
      </w:r>
      <w:hyperlink r:id="rId64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10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האכזרי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וההתעללות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הקורבנות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יש לקחת בחשבון את העובדה שמדובר במעשה טרור לפי החוק וכן העובדה שהעבירה כלפי הרכב נעברה ממניע של גזענות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</w:t>
      </w:r>
      <w:r>
        <w:rPr>
          <w:rFonts w:ascii="Arial" w:hAnsi="Arial" w:cs="Arial"/>
          <w:rtl w:val="true"/>
        </w:rPr>
        <w:t xml:space="preserve"> בכל הקשור לאישום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קיימת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נוספת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נטל חלק </w:t>
      </w:r>
      <w:r>
        <w:rPr>
          <w:rFonts w:ascii="Arial" w:hAnsi="Arial" w:cs="Arial"/>
          <w:rtl w:val="true"/>
        </w:rPr>
        <w:t>באירוע</w:t>
      </w:r>
      <w:r>
        <w:rPr>
          <w:rFonts w:ascii="Arial" w:hAnsi="Arial" w:cs="Arial"/>
          <w:rtl w:val="true"/>
        </w:rPr>
        <w:t xml:space="preserve"> אלימות המוני </w:t>
      </w:r>
      <w:r>
        <w:rPr>
          <w:rFonts w:cs="Arial" w:ascii="Arial" w:hAnsi="Arial"/>
          <w:rtl w:val="true"/>
        </w:rPr>
        <w:t>(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מוחמד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24.2.22</w:t>
      </w:r>
      <w:r>
        <w:rPr>
          <w:rFonts w:cs="Arial" w:ascii="Arial" w:hAnsi="Arial"/>
          <w:rtl w:val="true"/>
        </w:rPr>
        <w:t xml:space="preserve">); 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10423/07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סיטרין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11.6.08</w:t>
      </w:r>
      <w:r>
        <w:rPr>
          <w:rFonts w:cs="Arial" w:ascii="Arial" w:hAnsi="Arial"/>
          <w:rtl w:val="true"/>
        </w:rPr>
        <w:t>)).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 ל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השלישי יש לקחת בחשבון שחלק מהעבירות הינן עבירות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57" w:start="357" w:end="0"/>
        <w:jc w:val="both"/>
        <w:rPr/>
      </w:pPr>
      <w:r>
        <w:rPr>
          <w:rFonts w:ascii="Arial" w:hAnsi="Arial" w:cs="Arial"/>
          <w:rtl w:val="true"/>
        </w:rPr>
        <w:t>בהתאם לכל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ולמדיניות הענישה שהותוותה בפסיקה במקרים דומים אני קובע מתחמים כדלקמן</w:t>
      </w:r>
      <w:r>
        <w:rPr>
          <w:rFonts w:cs="Arial" w:ascii="Arial" w:hAnsi="Arial"/>
          <w:rtl w:val="true"/>
        </w:rPr>
        <w:t xml:space="preserve">: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לקביעת העונשים בתוך המתחמים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לקולא יש להתחשב בגילו הצעיר יחסית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בעובדה כי אין לחובתו עבר פלילי קודם</w:t>
      </w:r>
      <w:r>
        <w:rPr>
          <w:rFonts w:ascii="Arial" w:hAnsi="Arial" w:cs="Arial"/>
          <w:rtl w:val="true"/>
        </w:rPr>
        <w:t xml:space="preserve"> וכי עד לאירועים המתוארים בכתב האישום ניהל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לחומרה יש להתחשב בתסקיר השלילי</w:t>
      </w:r>
      <w:r>
        <w:rPr>
          <w:rFonts w:ascii="Arial" w:hAnsi="Arial" w:cs="Arial"/>
          <w:rtl w:val="true"/>
        </w:rPr>
        <w:t xml:space="preserve"> והעדר אופק שיקומי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אמנם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לבסוף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בכך משום לקיחת אחריות על מעשיו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אולם הוא</w:t>
      </w:r>
      <w:r>
        <w:rPr>
          <w:rFonts w:ascii="Arial" w:hAnsi="Arial" w:cs="Arial"/>
          <w:rtl w:val="true"/>
        </w:rPr>
        <w:t xml:space="preserve"> בחר לעשות זאת בשלב מאוחר יחסית של ההליך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במקרים כגון אלה </w:t>
      </w:r>
      <w:r>
        <w:rPr>
          <w:rFonts w:ascii="Arial" w:hAnsi="Arial" w:cs="Arial"/>
          <w:rtl w:val="true"/>
        </w:rPr>
        <w:t>נסיבותיו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האישיות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נסוג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אינטרסים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כלליים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החברה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בהרתעת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הרבים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והיחיד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</w:t>
      </w:r>
      <w:r>
        <w:rPr>
          <w:rFonts w:ascii="Arial" w:hAnsi="Arial" w:cs="Arial"/>
          <w:rtl w:val="true"/>
        </w:rPr>
        <w:t xml:space="preserve">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האישום הראשון יוטל על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האישום השני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האישום השלישי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העונשים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יהיו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צבורים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בחלקם </w:t>
      </w:r>
      <w:r>
        <w:rPr>
          <w:rFonts w:ascii="Arial" w:hAnsi="Arial" w:cs="Arial"/>
          <w:rtl w:val="true"/>
        </w:rPr>
        <w:t>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שהנאשם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ירצה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בסך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הכל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</w:rPr>
        <w:t>9.5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שנות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מאסר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6.6.21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מוטל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שחרורו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יחול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ש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לפצות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</w:t>
      </w:r>
      <w:r>
        <w:rPr>
          <w:rFonts w:cs="Arial" w:ascii="Arial" w:hAnsi="Arial"/>
        </w:rPr>
        <w:t>,000</w:t>
      </w:r>
      <w:r>
        <w:rPr>
          <w:rFonts w:cs="Arial" w:ascii="Arial" w:hAnsi="Arial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1.3.24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>זכות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ערעור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בתוך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תשרי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8416-07-21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סברי סלם אמר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.a.10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f" TargetMode="External"/><Relationship Id="rId9" Type="http://schemas.openxmlformats.org/officeDocument/2006/relationships/hyperlink" Target="http://www.nevo.co.il/law/70301/152" TargetMode="External"/><Relationship Id="rId10" Type="http://schemas.openxmlformats.org/officeDocument/2006/relationships/hyperlink" Target="http://www.nevo.co.il/law/70301/275a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141771" TargetMode="External"/><Relationship Id="rId17" Type="http://schemas.openxmlformats.org/officeDocument/2006/relationships/hyperlink" Target="http://www.nevo.co.il/law/141771/37" TargetMode="External"/><Relationship Id="rId18" Type="http://schemas.openxmlformats.org/officeDocument/2006/relationships/hyperlink" Target="http://www.nevo.co.il/law/70301/329.a.1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141771/37" TargetMode="External"/><Relationship Id="rId23" Type="http://schemas.openxmlformats.org/officeDocument/2006/relationships/hyperlink" Target="http://www.nevo.co.il/law/141771" TargetMode="External"/><Relationship Id="rId24" Type="http://schemas.openxmlformats.org/officeDocument/2006/relationships/hyperlink" Target="http://www.nevo.co.il/law/70301/413e" TargetMode="External"/><Relationship Id="rId25" Type="http://schemas.openxmlformats.org/officeDocument/2006/relationships/hyperlink" Target="http://www.nevo.co.il/law/70301/144f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5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75a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52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52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i.a.10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7733378" TargetMode="External"/><Relationship Id="rId46" Type="http://schemas.openxmlformats.org/officeDocument/2006/relationships/hyperlink" Target="http://www.nevo.co.il/case/27702531" TargetMode="External"/><Relationship Id="rId47" Type="http://schemas.openxmlformats.org/officeDocument/2006/relationships/hyperlink" Target="http://www.nevo.co.il/case/29781327" TargetMode="External"/><Relationship Id="rId48" Type="http://schemas.openxmlformats.org/officeDocument/2006/relationships/hyperlink" Target="http://www.nevo.co.il/case/27702531" TargetMode="External"/><Relationship Id="rId49" Type="http://schemas.openxmlformats.org/officeDocument/2006/relationships/hyperlink" Target="http://www.nevo.co.il/case/27700018" TargetMode="External"/><Relationship Id="rId50" Type="http://schemas.openxmlformats.org/officeDocument/2006/relationships/hyperlink" Target="http://www.nevo.co.il/law/70301/329.a.2" TargetMode="External"/><Relationship Id="rId51" Type="http://schemas.openxmlformats.org/officeDocument/2006/relationships/hyperlink" Target="http://www.nevo.co.il/case/28889052" TargetMode="External"/><Relationship Id="rId52" Type="http://schemas.openxmlformats.org/officeDocument/2006/relationships/hyperlink" Target="http://www.nevo.co.il/case/26489414" TargetMode="External"/><Relationship Id="rId53" Type="http://schemas.openxmlformats.org/officeDocument/2006/relationships/hyperlink" Target="http://www.nevo.co.il/law/70301/448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29.a.2" TargetMode="External"/><Relationship Id="rId56" Type="http://schemas.openxmlformats.org/officeDocument/2006/relationships/hyperlink" Target="http://www.nevo.co.il/law/141771/37" TargetMode="External"/><Relationship Id="rId57" Type="http://schemas.openxmlformats.org/officeDocument/2006/relationships/hyperlink" Target="http://www.nevo.co.il/case/26489415" TargetMode="External"/><Relationship Id="rId58" Type="http://schemas.openxmlformats.org/officeDocument/2006/relationships/hyperlink" Target="http://www.nevo.co.il/case/25475821" TargetMode="External"/><Relationship Id="rId59" Type="http://schemas.openxmlformats.org/officeDocument/2006/relationships/hyperlink" Target="http://www.nevo.co.il/case/27654256" TargetMode="External"/><Relationship Id="rId60" Type="http://schemas.openxmlformats.org/officeDocument/2006/relationships/hyperlink" Target="http://www.nevo.co.il/case/27733378" TargetMode="External"/><Relationship Id="rId61" Type="http://schemas.openxmlformats.org/officeDocument/2006/relationships/hyperlink" Target="http://www.nevo.co.il/case/27702531" TargetMode="External"/><Relationship Id="rId62" Type="http://schemas.openxmlformats.org/officeDocument/2006/relationships/hyperlink" Target="http://www.nevo.co.il/case/27700018" TargetMode="External"/><Relationship Id="rId63" Type="http://schemas.openxmlformats.org/officeDocument/2006/relationships/hyperlink" Target="http://www.nevo.co.il/case/28889052" TargetMode="External"/><Relationship Id="rId64" Type="http://schemas.openxmlformats.org/officeDocument/2006/relationships/hyperlink" Target="http://www.nevo.co.il/law/70301/40i.a.10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8296934" TargetMode="External"/><Relationship Id="rId67" Type="http://schemas.openxmlformats.org/officeDocument/2006/relationships/hyperlink" Target="http://www.nevo.co.il/case/6169945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2024-08-26T13:44:00Z</dcterms:created>
  <dc:creator> </dc:creator>
  <dc:description/>
  <cp:keywords/>
  <dc:language>en-IL</dc:language>
  <cp:lastModifiedBy>h1</cp:lastModifiedBy>
  <dcterms:modified xsi:type="dcterms:W3CDTF">2024-08-26T13:44:00Z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סברי סלם אמר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27733378:2;27702531:3;29781327;27700018:2;28889052:2;26489414;26489415;25475821;27654256;28296934;6169945</vt:lpwstr>
  </property>
  <property fmtid="{D5CDD505-2E9C-101B-9397-08002B2CF9AE}" pid="9" name="CITY">
    <vt:lpwstr>חי'</vt:lpwstr>
  </property>
  <property fmtid="{D5CDD505-2E9C-101B-9397-08002B2CF9AE}" pid="10" name="DATE">
    <vt:lpwstr>20230928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70301/329.a.1;329.a.2:3;029:5;413e;144f;152;275a;452:2;144.a;144.b;144.b2;040i.a.10:2;448.a</vt:lpwstr>
  </property>
  <property fmtid="{D5CDD505-2E9C-101B-9397-08002B2CF9AE}" pid="15" name="LAWLISTTMP2">
    <vt:lpwstr>141771/037:2</vt:lpwstr>
  </property>
  <property fmtid="{D5CDD505-2E9C-101B-9397-08002B2CF9AE}" pid="16" name="LAWYER">
    <vt:lpwstr>בני פסקל;פואד יחיא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8416</vt:lpwstr>
  </property>
  <property fmtid="{D5CDD505-2E9C-101B-9397-08002B2CF9AE}" pid="23" name="NEWPARTB">
    <vt:lpwstr>07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390020230928</vt:lpwstr>
  </property>
  <property fmtid="{D5CDD505-2E9C-101B-9397-08002B2CF9AE}" pid="35" name="TYPE_N_DATE">
    <vt:lpwstr>39020230928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