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FrankRuehl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בית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המשפט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המחוזי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בירושלים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FrankRuehl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לפני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כב</w:t>
            </w:r>
            <w:r>
              <w:rPr>
                <w:rFonts w:cs="FrankRuehl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  <w:t xml:space="preserve">'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השופט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י</w:t>
            </w:r>
            <w:r>
              <w:rPr>
                <w:rFonts w:cs="FrankRuehl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  <w:t xml:space="preserve">'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נועם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  <w:t>8858-03-13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אהרן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ריכטר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ואח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'</w:t>
            </w:r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Header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9"/>
        <w:gridCol w:w="5571"/>
      </w:tblGrid>
      <w:tr>
        <w:trPr/>
        <w:tc>
          <w:tcPr>
            <w:tcW w:w="324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bookmarkStart w:id="1" w:name="FirstAppellant"/>
            <w:bookmarkStart w:id="2" w:name="_GoBack"/>
            <w:bookmarkEnd w:id="1"/>
            <w:bookmarkEnd w:id="2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באמצעות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פרקליטות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מחוז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ירושלים</w:t>
            </w:r>
          </w:p>
        </w:tc>
      </w:tr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bookmarkStart w:id="3" w:name="FirstLawyer"/>
            <w:bookmarkEnd w:id="3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הנאשמים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lang w:val="en-US" w:eastAsia="en-US"/>
              </w:rPr>
              <w:t>1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איתי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נחמן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שלום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משפטו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הסתיים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  <w:t>2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.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אהרן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יעקב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ריכטר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ש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קוקוש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  <w:t>3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דוד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אברהם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טוב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א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אבינעם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334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Ari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bookmarkStart w:id="4" w:name="PsakDin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גזר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-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דין</w:t>
            </w:r>
            <w:bookmarkEnd w:id="4"/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בעניינם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של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נאשמים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lang w:val="en-US" w:eastAsia="en-US"/>
              </w:rPr>
              <w:t>2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ו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-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</w:tr>
    </w:tbl>
    <w:p>
      <w:pPr>
        <w:pStyle w:val="Ari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Ari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.</w:t>
        <w:tab/>
      </w:r>
      <w:bookmarkStart w:id="5" w:name="ABSTRACT_START"/>
      <w:bookmarkEnd w:id="5"/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379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1997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פציעה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בסעיפים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  <w:bookmarkStart w:id="6" w:name="ABSTRACT_END"/>
      <w:bookmarkEnd w:id="6"/>
      <w:r>
        <w:rPr>
          <w:rFonts w:cs="FrankRuehl"/>
          <w:sz w:val="28"/>
          <w:sz w:val="28"/>
          <w:szCs w:val="28"/>
          <w:rtl w:val="true"/>
        </w:rPr>
        <w:t>הודאתם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תעתור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יבקשו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והרשעתם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משתייכים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לחסידות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שובו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שבראשה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אליעזר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ברלנד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לחסידות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התנהלות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פסולה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כלשון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ברלנד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להרביץ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1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ולשבור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עצמותיו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הותקף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פברואר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למאפיית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נחמה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שבמהלכו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והוכה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Miriam"/>
          <w:rtl w:val="true"/>
        </w:rPr>
        <w:t>והשני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15.2.13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חסידות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ברסלב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– "</w:t>
      </w:r>
      <w:r>
        <w:rPr>
          <w:rFonts w:cs="Miriam"/>
          <w:rtl w:val="true"/>
        </w:rPr>
        <w:t>השכיב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3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2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לצדו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1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והכהו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בסטירות</w:t>
      </w:r>
      <w:r>
        <w:rPr>
          <w:rFonts w:cs="FrankRuehl"/>
          <w:sz w:val="28"/>
          <w:szCs w:val="28"/>
          <w:rtl w:val="true"/>
        </w:rPr>
        <w:t xml:space="preserve">";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– "</w:t>
      </w:r>
      <w:r>
        <w:rPr>
          <w:rFonts w:cs="Miriam"/>
          <w:rtl w:val="true"/>
        </w:rPr>
        <w:t>השכיבו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2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ו</w:t>
      </w:r>
      <w:r>
        <w:rPr>
          <w:rFonts w:cs="Miriam"/>
          <w:rtl w:val="true"/>
        </w:rPr>
        <w:t>-</w:t>
      </w:r>
      <w:r>
        <w:rPr>
          <w:rFonts w:cs="Miriam"/>
        </w:rPr>
        <w:t>3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1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והכהו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בסטירות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Miriam"/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המסדרון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rtl w:val="true"/>
        </w:rPr>
        <w:t>הִכו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2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ו</w:t>
      </w:r>
      <w:r>
        <w:rPr>
          <w:rFonts w:cs="Miriam"/>
          <w:rtl w:val="true"/>
        </w:rPr>
        <w:t>-</w:t>
      </w:r>
      <w:r>
        <w:rPr>
          <w:rFonts w:cs="Miriam"/>
        </w:rPr>
        <w:t>3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בבעיטות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ובאגרופים</w:t>
      </w:r>
      <w:r>
        <w:rPr>
          <w:rFonts w:cs="FrankRuehl"/>
          <w:sz w:val="28"/>
          <w:szCs w:val="28"/>
          <w:rtl w:val="true"/>
        </w:rPr>
        <w:t xml:space="preserve">"; </w:t>
      </w:r>
      <w:r>
        <w:rPr>
          <w:rFonts w:cs="FrankRuehl"/>
          <w:sz w:val="28"/>
          <w:sz w:val="28"/>
          <w:szCs w:val="28"/>
          <w:rtl w:val="true"/>
        </w:rPr>
        <w:t>ולפי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– "</w:t>
      </w:r>
      <w:r>
        <w:rPr>
          <w:rFonts w:cs="Miriam"/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2</w:t>
      </w:r>
      <w:r>
        <w:rPr>
          <w:rFonts w:cs="Miriam"/>
          <w:rtl w:val="true"/>
        </w:rPr>
        <w:t xml:space="preserve"> [</w:t>
      </w:r>
      <w:r>
        <w:rPr>
          <w:rFonts w:cs="Miriam"/>
          <w:rtl w:val="true"/>
        </w:rPr>
        <w:t>הכה</w:t>
      </w:r>
      <w:r>
        <w:rPr>
          <w:rFonts w:cs="Miriam"/>
          <w:rtl w:val="true"/>
        </w:rPr>
        <w:t xml:space="preserve">] </w:t>
      </w:r>
      <w:r>
        <w:rPr>
          <w:rFonts w:cs="Miriam"/>
          <w:rtl w:val="true"/>
        </w:rPr>
        <w:t>בבעיטות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[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1</w:t>
      </w:r>
      <w:r>
        <w:rPr>
          <w:rFonts w:cs="Miriam"/>
          <w:rtl w:val="true"/>
        </w:rPr>
        <w:t xml:space="preserve">] 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3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לצדו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שבמהלכו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ופציעה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>.</w:t>
        <w:tab/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בכתבי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למאשימה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כשברשותם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בקליבר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בשטח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340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3.4.14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1,000</w:t>
      </w:r>
      <w:r>
        <w:rPr>
          <w:rFonts w:cs="FrankRuehl"/>
          <w:sz w:val="28"/>
          <w:szCs w:val="28"/>
          <w:rtl w:val="true"/>
        </w:rPr>
        <w:t xml:space="preserve"> ₪.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השאר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הִנו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26.5.85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לחמישה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החרדי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חסידות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חסידויות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ובגיל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בישיבת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שובו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חסידות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ברסלב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משתייך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במקביל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לסירוגין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מזדמנות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בניקיון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הובלות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לכריכות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במקביל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ללימודיו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התנדב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בעמותת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אברהם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חולים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כשכיר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במעידתו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והיחידה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בשיחתו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ליטול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ברלנד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בתקיפות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להפסיק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הפוגענית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הקִרבה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להערכת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ובמצבים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ומתוסכל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באימפולסיביות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ואלימות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מרוכז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ובצרכיו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להערכת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לגורמי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ויחידה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המוטיבציה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והתנדבותו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בקהילה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לחמישה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הִנו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19.5.93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תשע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עשרה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ותשעה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ונורמטיבית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המנהלת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חרדי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תעסוקתית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מהתסקיר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הועצם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שפקדה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אִמו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לחסידות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ברסלב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1.1.14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והתחזות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דצמבר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ואשר</w:t>
      </w:r>
      <w:bookmarkStart w:id="7" w:name="LawTable_End"/>
      <w:bookmarkStart w:id="8" w:name="LawTable"/>
      <w:bookmarkEnd w:id="7"/>
      <w:bookmarkEnd w:id="8"/>
    </w:p>
    <w:p>
      <w:pPr>
        <w:pStyle w:val="Normal"/>
        <w:spacing w:lineRule="auto" w:line="480"/>
        <w:ind w:end="0"/>
        <w:jc w:val="center"/>
        <w:rPr>
          <w:bCs/>
          <w:sz w:val="28"/>
          <w:szCs w:val="28"/>
        </w:rPr>
      </w:pPr>
      <w:r>
        <w:rPr>
          <w:rFonts w:cs="FrankRuehl"/>
          <w:bCs/>
          <w:sz w:val="28"/>
          <w:sz w:val="28"/>
          <w:szCs w:val="28"/>
          <w:rtl w:val="true"/>
        </w:rPr>
        <w:t>בגינם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נידון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לשלושה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חודשי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מאסר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על</w:t>
      </w:r>
      <w:r>
        <w:rPr>
          <w:rFonts w:cs="FrankRuehl"/>
          <w:bCs/>
          <w:sz w:val="28"/>
          <w:szCs w:val="28"/>
          <w:rtl w:val="true"/>
        </w:rPr>
        <w:t>-</w:t>
      </w:r>
      <w:r>
        <w:rPr>
          <w:rFonts w:cs="FrankRuehl"/>
          <w:bCs/>
          <w:sz w:val="28"/>
          <w:sz w:val="28"/>
          <w:szCs w:val="28"/>
          <w:rtl w:val="true"/>
        </w:rPr>
        <w:t>תנאי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ולצו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מבחן</w:t>
      </w:r>
      <w:r>
        <w:rPr>
          <w:rFonts w:cs="FrankRuehl"/>
          <w:bCs/>
          <w:sz w:val="28"/>
          <w:szCs w:val="28"/>
          <w:rtl w:val="true"/>
        </w:rPr>
        <w:t xml:space="preserve">. </w:t>
      </w:r>
      <w:r>
        <w:rPr>
          <w:rFonts w:cs="FrankRuehl"/>
          <w:bCs/>
          <w:sz w:val="28"/>
          <w:sz w:val="28"/>
          <w:szCs w:val="28"/>
          <w:rtl w:val="true"/>
        </w:rPr>
        <w:t>בנוסף</w:t>
      </w:r>
      <w:r>
        <w:rPr>
          <w:rFonts w:cs="FrankRuehl"/>
          <w:bCs/>
          <w:sz w:val="28"/>
          <w:szCs w:val="28"/>
          <w:rtl w:val="true"/>
        </w:rPr>
        <w:t xml:space="preserve">, </w:t>
      </w:r>
      <w:r>
        <w:rPr>
          <w:rFonts w:cs="FrankRuehl"/>
          <w:bCs/>
          <w:sz w:val="28"/>
          <w:sz w:val="28"/>
          <w:szCs w:val="28"/>
          <w:rtl w:val="true"/>
        </w:rPr>
        <w:t>הוטל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נאשם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Cs w:val="28"/>
        </w:rPr>
        <w:t>3</w:t>
      </w:r>
      <w:r>
        <w:rPr>
          <w:rFonts w:cs="FrankRuehl"/>
          <w:bCs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ביום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Cs w:val="28"/>
        </w:rPr>
        <w:t>7.11.13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לתעבורה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והפרעה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נובמבר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2012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כחודשיים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עזב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בשיחתו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הנידונים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התדרדרות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וממערכות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מפקחות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ומכוונות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באוזני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חיפוש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סביב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השקפתו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חיפוש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ומקורות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בישיבה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פוגעניות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האִבחון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ממשפחתו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והאדרתו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הדמויות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החינוכיות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להוראותיהם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ויכולת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והדגיש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דפוסי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מההליכים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מהגבלת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חירותו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 xml:space="preserve">";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להתבוננות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ביקורתית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וההתרשמות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מדפוס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שביסודו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סביבתו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מגובשת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לגורמי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בגדרם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נשיאתו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העמקת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ההתרשמות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נקודת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וגורם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דפוסים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שלוותה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בזהות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מגובשת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וחיפוש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והכוונה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התבגרות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מגבש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פנימיים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בנפרד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בפיקוח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7.11.13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לתעבורה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17.2.14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ונתחוור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ארצה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Miriam"/>
          <w:rtl w:val="true"/>
        </w:rPr>
        <w:t>ב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הִנו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Miriam"/>
          <w:rtl w:val="true"/>
        </w:rPr>
        <w:t>ב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2</w:t>
      </w:r>
      <w:r>
        <w:rPr>
          <w:rFonts w:cs="Miriam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הנפרד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–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שהאחרון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בהזדמנות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Miriam"/>
          <w:rtl w:val="true"/>
        </w:rPr>
        <w:t>ב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הפיזיים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בסטירות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הנפרד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בפציעתו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השותפות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הִנן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קרי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–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הפיזית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 xml:space="preserve">" – </w:t>
      </w:r>
      <w:r>
        <w:rPr>
          <w:rFonts w:cs="FrankRuehl"/>
          <w:sz w:val="28"/>
          <w:sz w:val="28"/>
          <w:szCs w:val="28"/>
          <w:rtl w:val="true"/>
        </w:rPr>
        <w:t>בתחילה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Miriam"/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113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ל</w:t>
      </w:r>
      <w:hyperlink r:id="rId14">
        <w:r>
          <w:rPr>
            <w:rStyle w:val="Hyperlink"/>
            <w:rFonts w:cs="Miriam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אגב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בנפרד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אגב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בחופף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8641/12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5.8.13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וביישומו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</w:rPr>
        <w:t>11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באשר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ההולם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סבורני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הגם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שהעבירות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בוצעו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במועדים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קרובים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ובנסיבות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דומות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מקום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לקבוע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נפרד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לגבי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אירוע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כעתירת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המאשימה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ואף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הסנגורים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חלקו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כך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בבואי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לקבוע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מתחמי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הענישה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ההולמים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להתחשב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בערכים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החברתיים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העומדים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ביסוד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שמירת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החיים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ושלמות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הגוף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וההגנה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הציבור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;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וכן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להביא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בחשבון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המֵרבי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שנקבע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בצִדן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העבירות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: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ארבע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שנות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בגין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תקיפה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מחמירות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ושש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שנות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בגין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פציעה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מחמירות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הזדמנויות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תקיפתו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מצִדו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מהות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תוצאות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שהצריכו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תפירה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והמניע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נקיטת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ברלנד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הנפרדים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השותפות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שהאחרון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לכביש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והִכהו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בסטירות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בבעיטות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ובאגרופים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יחדיו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השכיבו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והִכו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בסטירות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לצִדו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שהאחרון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הִכה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בבעיטות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ובאגרופים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לגביו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בהתחשב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בעיקרון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ההלימה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שבענישה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בפגיעה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בערכים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החברתיים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המוגנים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שביסוד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העבירות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ביצועה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עבירה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וכן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ברמת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הנהוגה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דנן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סבורני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מתחמי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ההולמים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בעניינו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אירוע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כדלהלן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: </w:t>
      </w:r>
      <w:r>
        <w:rPr>
          <w:rFonts w:cs="Miriam"/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הראשון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שבגינו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הורשעו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הנאשמים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בעבירת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תקיפה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מחמירות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תנאי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ועד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קצר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לריצוי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בעבודות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שירות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; </w:t>
      </w:r>
      <w:r>
        <w:rPr>
          <w:rFonts w:cs="Miriam"/>
          <w:rtl w:val="true"/>
        </w:rPr>
        <w:t>ובאירוע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שבעטיו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הורשעו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הנאשמים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בעבירת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פציעה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מחמירות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קצר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לריצוי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בעבודות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כותלי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ספורים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באשר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לגזירת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העונש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המתאים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בתוך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מתחמי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ההולמים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האמורים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סבורני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ניתן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להשית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כולל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אחד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בגין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האירועים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זאת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לאור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העובדה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שאלו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התרחשו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באותה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תקופה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רקע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דומות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וכלפי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אותו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אדם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בקביעת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המתאים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להתחשב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שאינן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קשורות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העבירות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בענייננו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להתחשב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לקולא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בהודאתם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הנאשמים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בחרטה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שהביעו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מעשיהם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ובנסיבותיהם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האישיות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שתוארו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בתסקירי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המבחן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ובטיעוני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באי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כוחם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</w:rPr>
        <w:t>13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יסוד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האמור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לעיל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ובהתחשב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במכלול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טיעוני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הצדדים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לחומרה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ולקולא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דן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הנאשמים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כדלהלן</w:t>
      </w:r>
      <w:r>
        <w:rPr>
          <w:rFonts w:cs="FrankRuehl" w:ascii="Franklin Gothic Medium" w:hAnsi="Franklin Gothic Medium"/>
          <w:sz w:val="28"/>
          <w:szCs w:val="28"/>
          <w:rtl w:val="true"/>
        </w:rPr>
        <w:t>: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– </w:t>
      </w:r>
    </w:p>
    <w:p>
      <w:pPr>
        <w:pStyle w:val="Normal"/>
        <w:numPr>
          <w:ilvl w:val="0"/>
          <w:numId w:val="1"/>
        </w:numPr>
        <w:spacing w:lineRule="auto" w:line="480"/>
        <w:ind w:hanging="360" w:start="1080"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לארבעה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חודשי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בפועל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לריצוי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בעבודות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שירות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480"/>
        <w:ind w:hanging="360" w:start="1080"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לארבעה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חודשי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תנאי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יעבור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בתוך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שלוש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עבירה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שבה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הורשע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בתיק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זה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3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– </w:t>
      </w:r>
    </w:p>
    <w:p>
      <w:pPr>
        <w:pStyle w:val="Normal"/>
        <w:numPr>
          <w:ilvl w:val="0"/>
          <w:numId w:val="1"/>
        </w:numPr>
        <w:spacing w:lineRule="auto" w:line="480"/>
        <w:ind w:hanging="360" w:start="1080"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לשלושה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חודשי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בפועל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לריצוי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בעבודות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שירות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480"/>
        <w:ind w:hanging="360" w:start="1080"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לשלושה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חודשי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תנאי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יעבור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בתוך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שלוש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עבירה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שבה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הורשע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בתיק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זה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יבצע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עבודות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בעמותת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"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עזר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מציון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"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בירושלים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כמפורט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בחוות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דעתו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24.8.14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הממונה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עבודות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השירות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);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וביום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12.11.14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בשעה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9:00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יתייצב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במשרדי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הממונה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עבודות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במפקדת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מחוז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דרום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בתי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הסוהר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בבאר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שבע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קליטה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והצבה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firstLine="720"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3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יבצע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עבודות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בישיבת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"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תומכי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תמימים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"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בלוד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כמפורט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בחוות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דעתו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17.7.14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הממונה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עבודות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השירות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);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וביום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26.10.14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בשעה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9:00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יתייצב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במשרדי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הממונה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עבודות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במפקדת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מחוז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מרכז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בתי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הסוהר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ברמלה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קליטה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והצבה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firstLine="720"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ascii="Franklin Gothic Medium" w:hAnsi="Franklin Gothic Medium" w:cs="FrankRuehl"/>
          <w:b/>
          <w:bCs/>
          <w:sz w:val="28"/>
          <w:szCs w:val="28"/>
        </w:rPr>
      </w:pP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המזכירות</w:t>
      </w:r>
      <w:r>
        <w:rPr>
          <w:rFonts w:ascii="Franklin Gothic Medium" w:hAnsi="Franklin Gothic Medium" w:eastAsia="Franklin Gothic Medium" w:cs="Franklin Gothic Mediu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תמציא</w:t>
      </w:r>
      <w:r>
        <w:rPr>
          <w:rFonts w:ascii="Franklin Gothic Medium" w:hAnsi="Franklin Gothic Medium" w:eastAsia="Franklin Gothic Medium" w:cs="Franklin Gothic Mediu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עותקים</w:t>
      </w:r>
      <w:r>
        <w:rPr>
          <w:rFonts w:ascii="Franklin Gothic Medium" w:hAnsi="Franklin Gothic Medium" w:eastAsia="Franklin Gothic Medium" w:cs="Franklin Gothic Mediu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מגזר</w:t>
      </w:r>
      <w:r>
        <w:rPr>
          <w:rFonts w:cs="FrankRuehl" w:ascii="Franklin Gothic Medium" w:hAnsi="Franklin Gothic Medium"/>
          <w:b/>
          <w:bCs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הדין</w:t>
      </w:r>
      <w:r>
        <w:rPr>
          <w:rFonts w:ascii="Franklin Gothic Medium" w:hAnsi="Franklin Gothic Medium" w:eastAsia="Franklin Gothic Medium" w:cs="Franklin Gothic Mediu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לשירות</w:t>
      </w:r>
      <w:r>
        <w:rPr>
          <w:rFonts w:ascii="Franklin Gothic Medium" w:hAnsi="Franklin Gothic Medium" w:eastAsia="Franklin Gothic Medium" w:cs="Franklin Gothic Mediu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המבחן</w:t>
      </w:r>
      <w:r>
        <w:rPr>
          <w:rFonts w:ascii="Franklin Gothic Medium" w:hAnsi="Franklin Gothic Medium" w:eastAsia="Franklin Gothic Medium" w:cs="Franklin Gothic Mediu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ולממונה</w:t>
      </w:r>
      <w:r>
        <w:rPr>
          <w:rFonts w:ascii="Franklin Gothic Medium" w:hAnsi="Franklin Gothic Medium" w:eastAsia="Franklin Gothic Medium" w:cs="Franklin Gothic Mediu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עבודות</w:t>
      </w:r>
      <w:r>
        <w:rPr>
          <w:rFonts w:ascii="Franklin Gothic Medium" w:hAnsi="Franklin Gothic Medium" w:eastAsia="Franklin Gothic Medium" w:cs="Franklin Gothic Mediu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השירות</w:t>
      </w:r>
      <w:r>
        <w:rPr>
          <w:rFonts w:cs="FrankRuehl" w:ascii="Franklin Gothic Medium" w:hAnsi="Franklin Gothic Medium"/>
          <w:b/>
          <w:bCs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firstLine="720" w:end="0"/>
        <w:jc w:val="both"/>
        <w:rPr>
          <w:rFonts w:ascii="Franklin Gothic Medium" w:hAnsi="Franklin Gothic Medium" w:cs="FrankRuehl"/>
          <w:b/>
          <w:bCs/>
          <w:sz w:val="28"/>
          <w:szCs w:val="28"/>
        </w:rPr>
      </w:pPr>
      <w:r>
        <w:rPr>
          <w:rFonts w:cs="FrankRuehl" w:ascii="Franklin Gothic Medium" w:hAnsi="Franklin Gothic Medium"/>
          <w:b/>
          <w:bCs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ascii="Franklin Gothic Medium" w:hAnsi="Franklin Gothic Medium" w:cs="FrankRuehl"/>
          <w:b/>
          <w:bCs/>
          <w:sz w:val="28"/>
          <w:szCs w:val="28"/>
        </w:rPr>
      </w:pP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זכות</w:t>
      </w:r>
      <w:r>
        <w:rPr>
          <w:rFonts w:ascii="Franklin Gothic Medium" w:hAnsi="Franklin Gothic Medium" w:eastAsia="Franklin Gothic Medium" w:cs="Franklin Gothic Mediu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ערעור</w:t>
      </w:r>
      <w:r>
        <w:rPr>
          <w:rFonts w:ascii="Franklin Gothic Medium" w:hAnsi="Franklin Gothic Medium" w:eastAsia="Franklin Gothic Medium" w:cs="Franklin Gothic Mediu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לבית</w:t>
      </w:r>
      <w:r>
        <w:rPr>
          <w:rFonts w:cs="FrankRuehl" w:ascii="Franklin Gothic Medium" w:hAnsi="Franklin Gothic Medium"/>
          <w:b/>
          <w:bCs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ascii="Franklin Gothic Medium" w:hAnsi="Franklin Gothic Medium" w:eastAsia="Franklin Gothic Medium" w:cs="Franklin Gothic Mediu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העליון</w:t>
      </w:r>
      <w:r>
        <w:rPr>
          <w:rFonts w:ascii="Franklin Gothic Medium" w:hAnsi="Franklin Gothic Medium" w:eastAsia="Franklin Gothic Medium" w:cs="Franklin Gothic Mediu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בתוך</w:t>
      </w:r>
      <w:r>
        <w:rPr>
          <w:rFonts w:ascii="Franklin Gothic Medium" w:hAnsi="Franklin Gothic Medium" w:eastAsia="Franklin Gothic Medium" w:cs="Franklin Gothic Mediu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b/>
          <w:bCs/>
          <w:sz w:val="28"/>
          <w:szCs w:val="28"/>
        </w:rPr>
        <w:t>45</w:t>
      </w:r>
      <w:r>
        <w:rPr>
          <w:rFonts w:cs="FrankRuehl" w:ascii="Franklin Gothic Medium" w:hAnsi="Franklin Gothic Medium"/>
          <w:b/>
          <w:bCs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יום</w:t>
      </w:r>
      <w:r>
        <w:rPr>
          <w:rFonts w:ascii="Franklin Gothic Medium" w:hAnsi="Franklin Gothic Medium" w:eastAsia="Franklin Gothic Medium" w:cs="Franklin Gothic Mediu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מהיום</w:t>
      </w:r>
      <w:r>
        <w:rPr>
          <w:rFonts w:cs="FrankRuehl" w:ascii="Franklin Gothic Medium" w:hAnsi="Franklin Gothic Medium"/>
          <w:b/>
          <w:bCs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firstLine="720" w:end="0"/>
        <w:jc w:val="both"/>
        <w:rPr>
          <w:rFonts w:ascii="Franklin Gothic Medium" w:hAnsi="Franklin Gothic Medium" w:cs="FrankRuehl"/>
          <w:b/>
          <w:bCs/>
          <w:sz w:val="28"/>
          <w:szCs w:val="28"/>
        </w:rPr>
      </w:pPr>
      <w:r>
        <w:rPr>
          <w:rFonts w:cs="FrankRuehl" w:ascii="Franklin Gothic Medium" w:hAnsi="Franklin Gothic Medium"/>
          <w:b/>
          <w:bCs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b/>
          <w:bCs/>
          <w:sz w:val="28"/>
          <w:szCs w:val="28"/>
        </w:rPr>
      </w:pPr>
      <w:r>
        <w:rPr>
          <w:rFonts w:eastAsia="Franklin Gothic Medium" w:cs="FrankRuehl" w:ascii="Franklin Gothic Medium" w:hAnsi="Franklin Gothic Medium"/>
          <w:b/>
          <w:bCs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ניתן</w:t>
      </w:r>
      <w:r>
        <w:rPr>
          <w:rFonts w:ascii="Franklin Gothic Medium" w:hAnsi="Franklin Gothic Medium" w:eastAsia="Franklin Gothic Medium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היום</w:t>
      </w:r>
      <w:r>
        <w:rPr>
          <w:rFonts w:cs="FrankRuehl" w:ascii="Franklin Gothic Medium" w:hAnsi="Franklin Gothic Medium"/>
          <w:b/>
          <w:bCs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ח</w:t>
      </w:r>
      <w:r>
        <w:rPr>
          <w:rFonts w:cs="FrankRuehl" w:ascii="Franklin Gothic Medium" w:hAnsi="Franklin Gothic Medium"/>
          <w:b/>
          <w:bCs/>
          <w:sz w:val="28"/>
          <w:szCs w:val="28"/>
          <w:rtl w:val="true"/>
        </w:rPr>
        <w:t xml:space="preserve">' 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באלול</w:t>
      </w:r>
      <w:r>
        <w:rPr>
          <w:rFonts w:ascii="Franklin Gothic Medium" w:hAnsi="Franklin Gothic Medium" w:eastAsia="Franklin Gothic Medium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התשע</w:t>
      </w:r>
      <w:r>
        <w:rPr>
          <w:rFonts w:cs="FrankRuehl" w:ascii="Franklin Gothic Medium" w:hAnsi="Franklin Gothic Medium"/>
          <w:b/>
          <w:bCs/>
          <w:sz w:val="28"/>
          <w:szCs w:val="28"/>
          <w:rtl w:val="true"/>
        </w:rPr>
        <w:t>"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FrankRuehl" w:ascii="Franklin Gothic Medium" w:hAnsi="Franklin Gothic Medium"/>
          <w:b/>
          <w:bCs/>
          <w:sz w:val="28"/>
          <w:szCs w:val="28"/>
          <w:rtl w:val="true"/>
        </w:rPr>
        <w:t xml:space="preserve">, </w:t>
      </w:r>
      <w:r>
        <w:rPr>
          <w:rFonts w:cs="FrankRuehl" w:ascii="Franklin Gothic Medium" w:hAnsi="Franklin Gothic Medium"/>
          <w:b/>
          <w:bCs/>
          <w:sz w:val="28"/>
          <w:szCs w:val="28"/>
        </w:rPr>
        <w:t>3</w:t>
      </w:r>
      <w:r>
        <w:rPr>
          <w:rFonts w:cs="FrankRuehl" w:ascii="Franklin Gothic Medium" w:hAnsi="Franklin Gothic Medium"/>
          <w:b/>
          <w:bCs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בספטמבר</w:t>
      </w:r>
      <w:r>
        <w:rPr>
          <w:rFonts w:ascii="Franklin Gothic Medium" w:hAnsi="Franklin Gothic Medium" w:eastAsia="Franklin Gothic Medium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b/>
          <w:bCs/>
          <w:sz w:val="28"/>
          <w:szCs w:val="28"/>
        </w:rPr>
        <w:t>2013</w:t>
      </w:r>
      <w:r>
        <w:rPr>
          <w:rFonts w:cs="FrankRuehl" w:ascii="Franklin Gothic Medium" w:hAnsi="Franklin Gothic Medium"/>
          <w:b/>
          <w:bCs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במעמד</w:t>
      </w:r>
      <w:r>
        <w:rPr>
          <w:rFonts w:ascii="Franklin Gothic Medium" w:hAnsi="Franklin Gothic Medium" w:eastAsia="Franklin Gothic Medium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FrankRuehl" w:ascii="Franklin Gothic Medium" w:hAnsi="Franklin Gothic Medium"/>
          <w:b/>
          <w:bCs/>
          <w:sz w:val="28"/>
          <w:szCs w:val="28"/>
          <w:rtl w:val="true"/>
        </w:rPr>
        <w:t>"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כ</w:t>
      </w:r>
      <w:r>
        <w:rPr>
          <w:rFonts w:ascii="Franklin Gothic Medium" w:hAnsi="Franklin Gothic Medium" w:eastAsia="Franklin Gothic Medium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המאשימה</w:t>
      </w:r>
      <w:r>
        <w:rPr>
          <w:rFonts w:ascii="Franklin Gothic Medium" w:hAnsi="Franklin Gothic Medium" w:eastAsia="Franklin Gothic Medium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והנאשמים</w:t>
      </w:r>
      <w:r>
        <w:rPr>
          <w:rFonts w:ascii="Franklin Gothic Medium" w:hAnsi="Franklin Gothic Medium" w:eastAsia="Franklin Gothic Medium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b/>
          <w:bCs/>
          <w:sz w:val="28"/>
          <w:szCs w:val="28"/>
        </w:rPr>
        <w:t>2</w:t>
      </w:r>
      <w:r>
        <w:rPr>
          <w:rFonts w:cs="FrankRuehl" w:ascii="Franklin Gothic Medium" w:hAnsi="Franklin Gothic Medium"/>
          <w:b/>
          <w:bCs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ו</w:t>
      </w:r>
      <w:r>
        <w:rPr>
          <w:rFonts w:cs="FrankRuehl" w:ascii="Franklin Gothic Medium" w:hAnsi="Franklin Gothic Medium"/>
          <w:b/>
          <w:bCs/>
          <w:sz w:val="28"/>
          <w:szCs w:val="28"/>
          <w:rtl w:val="true"/>
        </w:rPr>
        <w:t>-</w:t>
      </w:r>
      <w:r>
        <w:rPr>
          <w:rFonts w:cs="FrankRuehl" w:ascii="Franklin Gothic Medium" w:hAnsi="Franklin Gothic Medium"/>
          <w:b/>
          <w:bCs/>
          <w:sz w:val="28"/>
          <w:szCs w:val="28"/>
        </w:rPr>
        <w:t>3</w:t>
      </w:r>
      <w:r>
        <w:rPr>
          <w:rFonts w:cs="FrankRuehl" w:ascii="Franklin Gothic Medium" w:hAnsi="Franklin Gothic Medium"/>
          <w:b/>
          <w:bCs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ובאי</w:t>
      </w:r>
      <w:r>
        <w:rPr>
          <w:rFonts w:cs="FrankRuehl" w:ascii="Franklin Gothic Medium" w:hAnsi="Franklin Gothic Medium"/>
          <w:b/>
          <w:bCs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כוחם</w:t>
      </w:r>
      <w:r>
        <w:rPr>
          <w:rFonts w:cs="FrankRuehl" w:ascii="Franklin Gothic Medium" w:hAnsi="Franklin Gothic Medium"/>
          <w:b/>
          <w:bCs/>
          <w:sz w:val="28"/>
          <w:szCs w:val="28"/>
          <w:rtl w:val="true"/>
        </w:rPr>
        <w:t>.</w:t>
      </w:r>
    </w:p>
    <w:tbl>
      <w:tblPr>
        <w:bidiVisual w:val="true"/>
        <w:tblW w:w="2520" w:type="dxa"/>
        <w:jc w:val="start"/>
        <w:tblInd w:w="20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20"/>
      </w:tblGrid>
      <w:tr>
        <w:trPr>
          <w:trHeight w:val="1438" w:hRule="atLeast"/>
        </w:trPr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>
          <w:trHeight w:val="527" w:hRule="atLeast"/>
        </w:trPr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יורם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נועם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color w:val="FFFFFF"/>
          <w:sz w:val="28"/>
          <w:szCs w:val="28"/>
          <w:lang w:val="en-US" w:eastAsia="en-US"/>
        </w:rPr>
      </w:pPr>
      <w:r>
        <w:rPr>
          <w:rFonts w:cs="FrankRuehl" w:ascii="Arial" w:hAnsi="Arial"/>
          <w:color w:val="FFFFFF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  <w:lang w:val="en-US" w:eastAsia="en-US"/>
        </w:rPr>
      </w:pPr>
      <w:r>
        <w:rPr>
          <w:rFonts w:cs="Arial" w:ascii="Arial" w:hAnsi="Arial"/>
          <w:sz w:val="28"/>
          <w:szCs w:val="28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י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נועם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p>
      <w:pPr>
        <w:pStyle w:val="Normal"/>
        <w:ind w:end="0"/>
        <w:jc w:val="center"/>
        <w:rPr/>
      </w:pPr>
      <w:hyperlink r:id="rId1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720" w:top="1701" w:footer="73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Franklin Gothic Medium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8858-03-13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איתי נחמן שלום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szCs w:val="24"/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WW8Num1z0">
    <w:name w:val="WW8Num1z0"/>
    <w:qFormat/>
    <w:rPr>
      <w:rFonts w:cs="Times New Roman"/>
      <w:szCs w:val="24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480"/>
      <w:jc w:val="both"/>
    </w:pPr>
    <w:rPr>
      <w:rFonts w:ascii="Arial" w:hAnsi="Arial" w:cs="FrankRuehl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334" TargetMode="External"/><Relationship Id="rId5" Type="http://schemas.openxmlformats.org/officeDocument/2006/relationships/hyperlink" Target="http://www.nevo.co.il/law/70301/335.a.2" TargetMode="External"/><Relationship Id="rId6" Type="http://schemas.openxmlformats.org/officeDocument/2006/relationships/hyperlink" Target="http://www.nevo.co.il/law/70301/379" TargetMode="External"/><Relationship Id="rId7" Type="http://schemas.openxmlformats.org/officeDocument/2006/relationships/hyperlink" Target="http://www.nevo.co.il/law/70301/382.a" TargetMode="External"/><Relationship Id="rId8" Type="http://schemas.openxmlformats.org/officeDocument/2006/relationships/hyperlink" Target="http://www.nevo.co.il/law/70301/379" TargetMode="External"/><Relationship Id="rId9" Type="http://schemas.openxmlformats.org/officeDocument/2006/relationships/hyperlink" Target="http://www.nevo.co.il/law/70301/382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34" TargetMode="External"/><Relationship Id="rId12" Type="http://schemas.openxmlformats.org/officeDocument/2006/relationships/hyperlink" Target="http://www.nevo.co.il/law/70301/335.a.2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5573417" TargetMode="External"/><Relationship Id="rId16" Type="http://schemas.openxmlformats.org/officeDocument/2006/relationships/hyperlink" Target="http://www.nevo.co.il/advertisements/nevo-100.doc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2020-04-16T10:48:00Z</dcterms:created>
  <dc:creator> </dc:creator>
  <dc:description/>
  <cp:keywords/>
  <dc:language>en-IL</dc:language>
  <cp:lastModifiedBy>hofit</cp:lastModifiedBy>
  <dcterms:modified xsi:type="dcterms:W3CDTF">2020-04-16T10:48:00Z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איתי נחמן שלום;אהרן יעקב ריכטר;דוד אברהם שם טוב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5573417</vt:lpwstr>
  </property>
  <property fmtid="{D5CDD505-2E9C-101B-9397-08002B2CF9AE}" pid="9" name="CITY">
    <vt:lpwstr>י-ם</vt:lpwstr>
  </property>
  <property fmtid="{D5CDD505-2E9C-101B-9397-08002B2CF9AE}" pid="10" name="DATE">
    <vt:lpwstr>20130903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נועם</vt:lpwstr>
  </property>
  <property fmtid="{D5CDD505-2E9C-101B-9397-08002B2CF9AE}" pid="14" name="LAWLISTTMP1">
    <vt:lpwstr>70301/379;382.a;334;335.a.2;144.b</vt:lpwstr>
  </property>
  <property fmtid="{D5CDD505-2E9C-101B-9397-08002B2CF9AE}" pid="15" name="LAWYER">
    <vt:lpwstr>ש' קוקוש;א' אבינעם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8858</vt:lpwstr>
  </property>
  <property fmtid="{D5CDD505-2E9C-101B-9397-08002B2CF9AE}" pid="22" name="NEWPARTB">
    <vt:lpwstr>03</vt:lpwstr>
  </property>
  <property fmtid="{D5CDD505-2E9C-101B-9397-08002B2CF9AE}" pid="23" name="NEWPARTC">
    <vt:lpwstr>13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390020130903</vt:lpwstr>
  </property>
  <property fmtid="{D5CDD505-2E9C-101B-9397-08002B2CF9AE}" pid="34" name="TYPE_N_DATE">
    <vt:lpwstr>39020130903</vt:lpwstr>
  </property>
  <property fmtid="{D5CDD505-2E9C-101B-9397-08002B2CF9AE}" pid="35" name="VOLUME">
    <vt:lpwstr/>
  </property>
  <property fmtid="{D5CDD505-2E9C-101B-9397-08002B2CF9AE}" pid="36" name="WORDNUMPAGES">
    <vt:lpwstr>11</vt:lpwstr>
  </property>
</Properties>
</file>