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1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2444"/>
        <w:gridCol w:w="3423"/>
        <w:gridCol w:w="56"/>
        <w:gridCol w:w="187"/>
      </w:tblGrid>
      <w:tr>
        <w:trPr>
          <w:trHeight w:val="418" w:hRule="exact"/>
        </w:trPr>
        <w:tc>
          <w:tcPr>
            <w:tcW w:w="8718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8864-08-18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מולא</w:t>
            </w:r>
          </w:p>
        </w:tc>
        <w:tc>
          <w:tcPr>
            <w:tcW w:w="3666" w:type="dxa"/>
            <w:gridSpan w:val="3"/>
            <w:tcBorders/>
          </w:tcPr>
          <w:p>
            <w:pPr>
              <w:pStyle w:val="Header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475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פיש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24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608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קרן לביא – מחלקת חקירות שוטרים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31" w:type="dxa"/>
            <w:gridSpan w:val="4"/>
            <w:tcBorders/>
            <w:vAlign w:val="center"/>
          </w:tcPr>
          <w:p>
            <w:pPr>
              <w:pStyle w:val="Normal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8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עמיר מולא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עדאל דבאח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ייצוא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תיווך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עירוני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שהצביעו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851" w:start="56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);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</w:hyperlink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); </w:t>
      </w:r>
      <w:r>
        <w:rPr>
          <w:rtl w:val="true"/>
        </w:rPr>
        <w:t>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92" w:start="567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93" w:start="567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5.12.06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4706-10-15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23.11.15</w:t>
      </w:r>
      <w:r>
        <w:rPr>
          <w:rtl w:val="true"/>
        </w:rPr>
        <w:t xml:space="preserve">)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16759-07-17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ביסמוט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15.10.18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39274-04-15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פיליפ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14.4.19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25165-10-10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17.7.11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1303/06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.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tl w:val="true"/>
        </w:rPr>
        <w:t xml:space="preserve">, </w:t>
      </w:r>
      <w:r>
        <w:rPr>
          <w:rtl w:val="true"/>
        </w:rPr>
        <w:t>המשמעת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27.10.19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30.11.19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8864-08-18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עמיר מולא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6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4" TargetMode="External"/><Relationship Id="rId12" Type="http://schemas.openxmlformats.org/officeDocument/2006/relationships/hyperlink" Target="http://www.nevo.co.il/law/4216/19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4;19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law/70301/338.a.5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1474520" TargetMode="External"/><Relationship Id="rId25" Type="http://schemas.openxmlformats.org/officeDocument/2006/relationships/hyperlink" Target="http://www.nevo.co.il/case/10443017" TargetMode="External"/><Relationship Id="rId26" Type="http://schemas.openxmlformats.org/officeDocument/2006/relationships/hyperlink" Target="http://www.nevo.co.il/case/2240441" TargetMode="External"/><Relationship Id="rId27" Type="http://schemas.openxmlformats.org/officeDocument/2006/relationships/hyperlink" Target="http://www.nevo.co.il/case/20604405" TargetMode="External"/><Relationship Id="rId28" Type="http://schemas.openxmlformats.org/officeDocument/2006/relationships/hyperlink" Target="http://www.nevo.co.il/case/22815849" TargetMode="External"/><Relationship Id="rId29" Type="http://schemas.openxmlformats.org/officeDocument/2006/relationships/hyperlink" Target="http://www.nevo.co.il/case/20219497" TargetMode="External"/><Relationship Id="rId30" Type="http://schemas.openxmlformats.org/officeDocument/2006/relationships/hyperlink" Target="http://www.nevo.co.il/case/4559785" TargetMode="External"/><Relationship Id="rId31" Type="http://schemas.openxmlformats.org/officeDocument/2006/relationships/hyperlink" Target="http://www.nevo.co.il/case/2495877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2019-11-24T09:19:00Z</dcterms:created>
  <dc:creator> </dc:creator>
  <dc:description/>
  <cp:keywords/>
  <dc:language>en-IL</dc:language>
  <cp:lastModifiedBy>orly</cp:lastModifiedBy>
  <dcterms:modified xsi:type="dcterms:W3CDTF">2019-11-24T09:19:00Z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עמיר מולא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5821327;21474520;10443017;2240441;20604405;22815849;20219497;4559785;2495877</vt:lpwstr>
  </property>
  <property fmtid="{D5CDD505-2E9C-101B-9397-08002B2CF9AE}" pid="9" name="CITY">
    <vt:lpwstr>חי'</vt:lpwstr>
  </property>
  <property fmtid="{D5CDD505-2E9C-101B-9397-08002B2CF9AE}" pid="10" name="DATE">
    <vt:lpwstr>20190926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70301/384;144.b;144.b2;338.a.5;340a</vt:lpwstr>
  </property>
  <property fmtid="{D5CDD505-2E9C-101B-9397-08002B2CF9AE}" pid="15" name="LAWLISTTMP2">
    <vt:lpwstr>4216/006;014;019;007.c</vt:lpwstr>
  </property>
  <property fmtid="{D5CDD505-2E9C-101B-9397-08002B2CF9AE}" pid="16" name="LAWYER">
    <vt:lpwstr>קרן לביא;עדאל דבאח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8864</vt:lpwstr>
  </property>
  <property fmtid="{D5CDD505-2E9C-101B-9397-08002B2CF9AE}" pid="24" name="NEWPARTB">
    <vt:lpwstr>08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8991;13800</vt:lpwstr>
  </property>
  <property fmtid="{D5CDD505-2E9C-101B-9397-08002B2CF9AE}" pid="60" name="PADIDATE">
    <vt:lpwstr>20191124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390120190926</vt:lpwstr>
  </property>
  <property fmtid="{D5CDD505-2E9C-101B-9397-08002B2CF9AE}" pid="70" name="TYPE_N_DATE">
    <vt:lpwstr>39020190926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