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8999-05-14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סליסל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9"/>
        <w:gridCol w:w="4057"/>
        <w:gridCol w:w="3714"/>
      </w:tblGrid>
      <w:tr>
        <w:trPr>
          <w:trHeight w:val="295" w:hRule="atLeast"/>
        </w:trPr>
        <w:tc>
          <w:tcPr>
            <w:tcW w:w="104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פני </w:t>
            </w:r>
          </w:p>
        </w:tc>
        <w:tc>
          <w:tcPr>
            <w:tcW w:w="77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אלון אינפלד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05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מדינת ישרא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ד ליאת לוי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סיגל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</w:p>
        </w:tc>
        <w:tc>
          <w:tcPr>
            <w:tcW w:w="37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0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3714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7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05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חאתם אבו סליסל 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ד טאהר אלמכאווי</w:t>
            </w:r>
          </w:p>
        </w:tc>
        <w:tc>
          <w:tcPr>
            <w:tcW w:w="371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0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3714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276" w:before="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276" w:before="0" w:after="200"/>
        <w:ind w:end="0"/>
        <w:jc w:val="start"/>
        <w:rPr>
          <w:rFonts w:ascii="Calibri" w:hAnsi="Calibri" w:cs="Calibri"/>
          <w:b/>
          <w:bCs/>
          <w:u w:val="thick"/>
        </w:rPr>
      </w:pPr>
      <w:r>
        <w:rPr>
          <w:rFonts w:ascii="Calibri" w:hAnsi="Calibri" w:cs="Calibri"/>
          <w:b/>
          <w:b/>
          <w:bCs/>
          <w:u w:val="thick"/>
          <w:rtl w:val="true"/>
        </w:rPr>
        <w:t>נתוני</w:t>
      </w:r>
      <w:r>
        <w:rPr>
          <w:rFonts w:ascii="Calibri" w:hAnsi="Calibri" w:cs="Calibri"/>
          <w:b/>
          <w:b/>
          <w:bCs/>
          <w:u w:val="thick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thick"/>
          <w:rtl w:val="true"/>
        </w:rPr>
        <w:t>רקע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bookmarkStart w:id="7" w:name="ABSTRACT_START"/>
      <w:bookmarkEnd w:id="7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בריג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הסתננות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מזויינת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למניעת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הסתננות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עבירות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ושיפוט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1954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הוזעק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thick"/>
        </w:rPr>
      </w:pPr>
      <w:r>
        <w:rPr>
          <w:rFonts w:ascii="Calibri" w:hAnsi="Calibri" w:cs="Calibri"/>
          <w:b/>
          <w:b/>
          <w:bCs/>
          <w:u w:val="thick"/>
          <w:rtl w:val="true"/>
        </w:rPr>
        <w:t>ראיות</w:t>
      </w:r>
      <w:r>
        <w:rPr>
          <w:rFonts w:ascii="Calibri" w:hAnsi="Calibri" w:cs="Calibri"/>
          <w:b/>
          <w:b/>
          <w:bCs/>
          <w:u w:val="thick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thick"/>
          <w:rtl w:val="true"/>
        </w:rPr>
        <w:t>וטיעונים</w:t>
      </w:r>
      <w:r>
        <w:rPr>
          <w:rFonts w:ascii="Calibri" w:hAnsi="Calibri" w:cs="Calibri"/>
          <w:b/>
          <w:b/>
          <w:bCs/>
          <w:u w:val="thick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thick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תע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בוואדי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אילוצים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והוקלט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שנפלו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טקסטים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שהועתקו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בשגגה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מהמצב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שהתעלמתי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וגבולותיה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לשטחה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והכספיות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המוצהרת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שאזכרה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טענה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תכליתה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ופוגענית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וואדי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העזתי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אלמכאווי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סנגוריה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בהזכירו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חופשות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Arial" w:hAnsi="Arial" w:cs="Arial"/>
          <w:b/>
          <w:bCs/>
          <w:u w:val="thick"/>
        </w:rPr>
      </w:pPr>
      <w:r>
        <w:rPr>
          <w:rFonts w:cs="Arial" w:ascii="Arial" w:hAnsi="Arial"/>
          <w:b/>
          <w:bCs/>
          <w:u w:val="thick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Arial" w:hAnsi="Arial" w:cs="Arial"/>
          <w:b/>
          <w:bCs/>
          <w:u w:val="thick"/>
        </w:rPr>
      </w:pPr>
      <w:r>
        <w:rPr>
          <w:rFonts w:ascii="Arial" w:hAnsi="Arial" w:cs="Arial"/>
          <w:b/>
          <w:b/>
          <w:bCs/>
          <w:u w:val="thick"/>
          <w:rtl w:val="true"/>
        </w:rPr>
        <w:t xml:space="preserve">מתחם הענישה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בחייליה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ובאזרחיה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ואזרחיה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צודקת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שתתגלה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לריתוק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המוזנקים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ההתקרבות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חושפים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ובעקיפין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בהרפיית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מוזנקים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קרקעיים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Tahoma" w:hAnsi="Tahoma" w:cs="Tahoma"/>
          <w:rtl w:val="true"/>
        </w:rPr>
        <w:t>הנאשם טען כי מטרת ההסתננות הייתה מציאת פרנסה בישראל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יש להניח לטובת הנאשם כי כך הם פני הדברים לגביו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עם זאת יודגש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הצידוק הכלכלי עלול לשרת רבים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ויכול לשמש תירוץ נוח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הניתן לניצול על ידי מי שכוונותיו אכן זדוניות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כניסתו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סכין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להגדיל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כניסתו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להיתקל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ובתרחישים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ממילא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לתקיפה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ושפתיו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משוננים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הקונקרטי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יושפע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בהכרח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התקיפה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המסתנן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Tahoma" w:hAnsi="Tahoma" w:cs="Tahoma"/>
          <w:rtl w:val="true"/>
        </w:rPr>
        <w:t>יש לזקוף לזכות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לא גרם בסופו של דבר סכנה של ממש למדינה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מעבר לסיכון העקיף שגרם לחיילים</w:t>
      </w:r>
      <w:r>
        <w:rPr>
          <w:rFonts w:cs="Tahoma" w:ascii="Tahoma" w:hAnsi="Tahoma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נטולת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Tahoma" w:hAnsi="Tahoma" w:cs="Tahoma"/>
          <w:rtl w:val="true"/>
        </w:rPr>
        <w:t>ולא נגרם בפועל נזק ממשי לחיי אדם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אלא סיכון בלבד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הגישו פסיקה מבית משפט זה </w:t>
      </w:r>
      <w:r>
        <w:rPr>
          <w:rFonts w:ascii="Tahoma" w:hAnsi="Tahoma" w:cs="Tahoma"/>
          <w:rtl w:val="true"/>
        </w:rPr>
        <w:t xml:space="preserve">באשר </w:t>
      </w:r>
      <w:r>
        <w:rPr>
          <w:rFonts w:ascii="Tahoma" w:hAnsi="Tahoma" w:cs="Tahoma"/>
          <w:b/>
          <w:b/>
          <w:bCs/>
          <w:rtl w:val="true"/>
        </w:rPr>
        <w:t>למדיניות הענישה הנהוגה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בעבירות מסוג זה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הסנגור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39377-09-13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20.2.14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יפניים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לעומתו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30475-12-13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בלעאווי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25.1213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המאוזכרת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שאוזכר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המכפילה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הסתננות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עדיין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הנסיבה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שהגדיר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המחוקק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אצלנו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גרידא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u w:val="thick"/>
        </w:rPr>
      </w:pPr>
      <w:r>
        <w:rPr>
          <w:rFonts w:cs="Calibri" w:ascii="Calibri" w:hAnsi="Calibri"/>
          <w:u w:val="thick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Tahoma" w:hAnsi="Tahoma" w:cs="Tahoma"/>
          <w:b/>
          <w:bCs/>
          <w:u w:val="thick"/>
        </w:rPr>
      </w:pPr>
      <w:r>
        <w:rPr>
          <w:rFonts w:cs="Tahoma" w:ascii="Tahoma" w:hAnsi="Tahoma"/>
          <w:b/>
          <w:bCs/>
          <w:u w:val="thick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u w:val="thick"/>
        </w:rPr>
      </w:pPr>
      <w:r>
        <w:rPr>
          <w:rFonts w:ascii="Tahoma" w:hAnsi="Tahoma" w:cs="Tahoma"/>
          <w:b/>
          <w:b/>
          <w:bCs/>
          <w:u w:val="thick"/>
          <w:rtl w:val="true"/>
        </w:rPr>
        <w:t>קביעת העונש בגבולות המתחם</w:t>
      </w:r>
      <w:r>
        <w:rPr>
          <w:rFonts w:ascii="Tahoma" w:hAnsi="Tahoma" w:cs="Tahoma"/>
          <w:u w:val="thick"/>
          <w:rtl w:val="true"/>
        </w:rPr>
        <w:t xml:space="preserve"> </w:t>
      </w:r>
      <w:r>
        <w:rPr>
          <w:rFonts w:ascii="Calibri" w:hAnsi="Calibri" w:cs="Calibri"/>
          <w:u w:val="thick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Tahoma" w:hAnsi="Tahoma" w:cs="Tahoma"/>
          <w:rtl w:val="true"/>
        </w:rPr>
        <w:t>בקביעת העונש הקונקרטי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בתוך מתחם הענישה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יש ליתן משקל משמעותי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המגדירים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קטגוריה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להפריז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המצב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הרמדאן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אדחא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ברבעון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בריחוק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מחופשות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cs="Calibri" w:ascii="Calibri" w:hAnsi="Calibri"/>
          <w:rtl w:val="true"/>
        </w:rPr>
        <w:t xml:space="preserve">) 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קונבנציונאליות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ascii="Tahoma" w:hAnsi="Tahoma" w:cs="Tahoma"/>
          <w:b/>
          <w:b/>
          <w:bCs/>
          <w:rtl w:val="true"/>
        </w:rPr>
        <w:t>סיכומו של דבר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העבירות שביצע הנאשם מחייבות ענישה מוחשית משמעותית בדמות מאסר בפועל מאחורי סורג ובריח במתחם שנקבע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עם זאת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בתוך המתחם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יש לנקוט בענישה מתונה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תוך התחשבות בנסיבות לקולה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thick"/>
        </w:rPr>
      </w:pPr>
      <w:r>
        <w:rPr>
          <w:rFonts w:cs="Calibri" w:ascii="Calibri" w:hAnsi="Calibri"/>
          <w:b/>
          <w:bCs/>
          <w:u w:val="thick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thick"/>
        </w:rPr>
      </w:pPr>
      <w:r>
        <w:rPr>
          <w:rFonts w:cs="Calibri" w:ascii="Calibri" w:hAnsi="Calibri"/>
          <w:b/>
          <w:bCs/>
          <w:u w:val="thick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thick"/>
        </w:rPr>
      </w:pPr>
      <w:r>
        <w:rPr>
          <w:rFonts w:cs="Calibri" w:ascii="Calibri" w:hAnsi="Calibri"/>
          <w:b/>
          <w:bCs/>
          <w:u w:val="thick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thick"/>
        </w:rPr>
      </w:pPr>
      <w:r>
        <w:rPr>
          <w:rFonts w:cs="Calibri" w:ascii="Calibri" w:hAnsi="Calibri"/>
          <w:b/>
          <w:bCs/>
          <w:u w:val="thick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thick"/>
        </w:rPr>
      </w:pPr>
      <w:r>
        <w:rPr>
          <w:rFonts w:ascii="Calibri" w:hAnsi="Calibri" w:cs="Calibri"/>
          <w:b/>
          <w:b/>
          <w:bCs/>
          <w:u w:val="thick"/>
          <w:rtl w:val="true"/>
        </w:rPr>
        <w:t>התוצאה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57" w:start="714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0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4.5.14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0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ההסתננות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לישראל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אלמכאווי והתובע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מסעד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bookmarkStart w:id="9" w:name="_GoBack"/>
      <w:bookmarkEnd w:id="9"/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אינפלד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8999-05-14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חאתם אבו סליסל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0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0" TargetMode="External"/><Relationship Id="rId3" Type="http://schemas.openxmlformats.org/officeDocument/2006/relationships/hyperlink" Target="http://www.nevo.co.il/law/72510/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2510/4" TargetMode="External"/><Relationship Id="rId8" Type="http://schemas.openxmlformats.org/officeDocument/2006/relationships/hyperlink" Target="http://www.nevo.co.il/law/72510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0455342" TargetMode="External"/><Relationship Id="rId12" Type="http://schemas.openxmlformats.org/officeDocument/2006/relationships/hyperlink" Target="http://www.nevo.co.il/case/10525123" TargetMode="External"/><Relationship Id="rId13" Type="http://schemas.openxmlformats.org/officeDocument/2006/relationships/hyperlink" Target="http://www.nevo.co.il/law/72510/4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2014-07-28T08:21:00Z</dcterms:created>
  <dc:creator> </dc:creator>
  <dc:description/>
  <cp:keywords/>
  <dc:language>en-IL</dc:language>
  <cp:lastModifiedBy>hofit</cp:lastModifiedBy>
  <dcterms:modified xsi:type="dcterms:W3CDTF">2014-07-28T08:21:00Z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חאתם אבו סליסל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10455342;10525123</vt:lpwstr>
  </property>
  <property fmtid="{D5CDD505-2E9C-101B-9397-08002B2CF9AE}" pid="9" name="CITY">
    <vt:lpwstr>ב"ש</vt:lpwstr>
  </property>
  <property fmtid="{D5CDD505-2E9C-101B-9397-08002B2CF9AE}" pid="10" name="DATE">
    <vt:lpwstr>20140723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אינפלד</vt:lpwstr>
  </property>
  <property fmtid="{D5CDD505-2E9C-101B-9397-08002B2CF9AE}" pid="14" name="LAWLISTTMP1">
    <vt:lpwstr>72510/004:2</vt:lpwstr>
  </property>
  <property fmtid="{D5CDD505-2E9C-101B-9397-08002B2CF9AE}" pid="15" name="LAWLISTTMP2">
    <vt:lpwstr>70301/040c.a</vt:lpwstr>
  </property>
  <property fmtid="{D5CDD505-2E9C-101B-9397-08002B2CF9AE}" pid="16" name="LAWLISTTMP3">
    <vt:lpwstr>90721</vt:lpwstr>
  </property>
  <property fmtid="{D5CDD505-2E9C-101B-9397-08002B2CF9AE}" pid="17" name="LAWYER">
    <vt:lpwstr>ליאת לוי סיגל;טאהר אלמכאווי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8999</vt:lpwstr>
  </property>
  <property fmtid="{D5CDD505-2E9C-101B-9397-08002B2CF9AE}" pid="24" name="NEWPARTB">
    <vt:lpwstr>05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390020140723</vt:lpwstr>
  </property>
  <property fmtid="{D5CDD505-2E9C-101B-9397-08002B2CF9AE}" pid="36" name="TYPE_N_DATE">
    <vt:lpwstr>39020140723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