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98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04"/>
        <w:gridCol w:w="3785"/>
      </w:tblGrid>
      <w:tr>
        <w:trPr>
          <w:trHeight w:val="605" w:hRule="exact"/>
        </w:trPr>
        <w:tc>
          <w:tcPr>
            <w:tcW w:w="8989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59" w:hRule="atLeast"/>
        </w:trPr>
        <w:tc>
          <w:tcPr>
            <w:tcW w:w="520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9211-05-21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אזברגה</w:t>
            </w:r>
          </w:p>
          <w:p>
            <w:pPr>
              <w:pStyle w:val="Header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85" w:type="dxa"/>
            <w:tcBorders/>
          </w:tcPr>
          <w:p>
            <w:pPr>
              <w:pStyle w:val="Header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</w:rPr>
              <w:t>12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ינואר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2023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917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0"/>
        <w:gridCol w:w="3348"/>
        <w:gridCol w:w="4867"/>
      </w:tblGrid>
      <w:tr>
        <w:trPr>
          <w:trHeight w:val="292" w:hRule="atLeast"/>
        </w:trPr>
        <w:tc>
          <w:tcPr>
            <w:tcW w:w="960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821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אילה אורן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2" w:hRule="atLeast"/>
        </w:trPr>
        <w:tc>
          <w:tcPr>
            <w:tcW w:w="96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3348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867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2" w:hRule="atLeast"/>
        </w:trPr>
        <w:tc>
          <w:tcPr>
            <w:tcW w:w="96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821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2" w:hRule="atLeast"/>
        </w:trPr>
        <w:tc>
          <w:tcPr>
            <w:tcW w:w="96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34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867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מחמוד אזברגה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2" w:hRule="atLeast"/>
        </w:trPr>
        <w:tc>
          <w:tcPr>
            <w:tcW w:w="96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34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86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bookmarkStart w:id="8" w:name="ABSTRACT_START"/>
      <w:bookmarkEnd w:id="8"/>
      <w:r>
        <w:rPr>
          <w:rFonts w:ascii="David" w:hAnsi="David" w:cs="David"/>
          <w:sz w:val="24"/>
          <w:sz w:val="24"/>
          <w:szCs w:val="24"/>
          <w:rtl w:val="true"/>
        </w:rPr>
        <w:t>הנאשם הורשע בהתאם להודאתו בעובדות כתב אישום מתוקן שהוגש במסגרת הסדר טיעון דיוני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החזקת נשק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–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מעובדות כתב האישום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המתוקן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עולה כי ביום </w:t>
      </w:r>
      <w:r>
        <w:rPr>
          <w:rFonts w:cs="David" w:ascii="David" w:hAnsi="David"/>
          <w:sz w:val="24"/>
          <w:szCs w:val="24"/>
        </w:rPr>
        <w:t>7.2.2021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הנאשם עבור אחר שזהותו אינה ידועה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אקדח מסוג גלוק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בתיק שנשמר בתוך מקרר גלידות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בביתן צמוד לביתו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תסקיר שירות המבחן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תסקיר שירות המבחן מיום </w:t>
      </w:r>
      <w:r>
        <w:rPr>
          <w:rFonts w:cs="David" w:ascii="David" w:hAnsi="David"/>
          <w:sz w:val="24"/>
          <w:szCs w:val="24"/>
        </w:rPr>
        <w:t>21.11.2022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שטח את נסיבותיו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בן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נשוי ואב לתינוקת כבת חצי שנה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אינו עובד מזה כשנה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וטרם מעצרו עבד כמרכיב רהיטים בחברת הובלות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הוריו של הנאשם התגרשו בהיותו נער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אחיו התגוררו עם אמו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סייע בכלכלת המשפחה מגיל צעיר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משפחתו מלוכדת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ומעולם איש מהם לא היה מעורב בפלילים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ולפיכך הגיבה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משפח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בהפתעה וכעס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ביחס לביצוע העבירה טען הנאשם שהוא קיבל את התיק עם האקדח ממכר שביקש את עזרתו וכי הוא לא ידע מה יש בתיק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וכשפתח אותו והבין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הוא מכיל רכוש לא חוקי כלשהו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שמר על התיק מתוך אי נעימות כלפי המכר שלו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עם זאת הנאשם טען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הוא לא ידע שמדובר באקדח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הביע צער על שנהג בקלות ראש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תיאר תחושת כ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שלון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בושה ואשמה מול משפחתו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 כי הנאשם הוא צעיר המצוי בשלבים של גיבוש זהות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ללא קווים עברייניים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גדל בצל חסכים פיזיים וקושי כלכלי משמעותי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הוא מתקשה לתפקד באופן מובחן מאחרים ולגבש תפיסה עצמאית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 שהביא להתנהלותו בדפוס ריצוי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שעמד ברקע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משפחתו של הנאשם הציבה לו גבול ברור עקב הסתבכותו בתיק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גילה יציבות תעסוקתית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ובכך יש גורמי שיקום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מטעמים אלו המליץ שירות המבחן להסתפק בהטלת 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צ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צו 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לכל היותר להשית עליו עונש מאסר לתקופה קצרה לריצוי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תמצית טיעוני הצדדים לעונש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עוה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ליאור אחרק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הפנתה לערכים המוגנים בעבירת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בהיותן עבירות שהפוטנציאל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פגיעה בעטיין גבוה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ומכאן הצורך בענישה חמורה לשם מאבק בתופעה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למתחם העונש נטען כי זה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חל מ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- </w:t>
      </w:r>
      <w:r>
        <w:rPr>
          <w:rFonts w:cs="David" w:ascii="David" w:hAnsi="David"/>
          <w:sz w:val="24"/>
          <w:szCs w:val="24"/>
          <w:u w:val="single"/>
        </w:rPr>
        <w:t>18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חודשים ועד </w:t>
      </w:r>
      <w:r>
        <w:rPr>
          <w:rFonts w:cs="David" w:ascii="David" w:hAnsi="David"/>
          <w:sz w:val="24"/>
          <w:szCs w:val="24"/>
          <w:u w:val="single"/>
        </w:rPr>
        <w:t>36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 הגם שהעבירה בוצעה לפני כניסתה לתוקף של הוראת השעה המחמירה ב</w:t>
      </w:r>
      <w:hyperlink r:id="rId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אליה אתייחס בהמשך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אך ברוח הפסיקה העדכנית של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והתיקון לחוק המלמדים על הצורך בהחמרת הענישה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ובנוגע לגזירת העונש טענה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לא נטל אחריות מלאה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עבר הליך טיפולי כלשהו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ולפיכך ביקשה לגזור עליו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בתמיכה לעתירתה הפנתה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לפסיקה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ולהנחיית פרקליט המדינה </w:t>
      </w:r>
      <w:r>
        <w:rPr>
          <w:rFonts w:cs="David" w:ascii="David" w:hAnsi="David"/>
          <w:sz w:val="24"/>
          <w:szCs w:val="24"/>
        </w:rPr>
        <w:t>9.16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>מדיניות ענישה בעבירות נשק ומטעני 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13.2.2022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עוה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חי אוזן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התייחס לנסיבות ביצוע העבירה וטען כי הן ברף נמוך באופן יחסי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ראשית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משום שהנשק הוסלק בתוך תיק שנשמר במקרר בחצר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ולכן הוא לא היה בהישג יד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ולא הוחזקו תחמושת ומחסנית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משום שהאקדח לא שייך לנאשם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החזיקו עבור 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ולכן יש להבחין בין עניינו של הנאשם לפסיקה שהגישה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שהיא חמורה יותר בנסיבותיה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הפנה לפסיקה אחרת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וטען כי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מתחם הענישה נע החל מ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- </w:t>
      </w:r>
      <w:r>
        <w:rPr>
          <w:rFonts w:cs="David" w:ascii="David" w:hAnsi="David"/>
          <w:sz w:val="24"/>
          <w:szCs w:val="24"/>
          <w:u w:val="single"/>
        </w:rPr>
        <w:t>8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מאס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ר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ועד </w:t>
      </w:r>
      <w:r>
        <w:rPr>
          <w:rFonts w:cs="David" w:ascii="David" w:hAnsi="David"/>
          <w:sz w:val="24"/>
          <w:szCs w:val="24"/>
          <w:u w:val="single"/>
        </w:rPr>
        <w:t>18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הסניגור הפנה בטיעוניו לנסיבותיו האישיות של הנאשם בהיותו 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שהודה במיוחס לו ונטל אחריות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נטען כי העבירה בוצעה לפני כשנתיים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ומאז האירוע לא נפתחו נגד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תיקים פליליים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היה עצרו כחודשיים במעצר ממש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ובהמשך בתנאי מעצר בית מלא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תסקיר שירות המבחן שהוגש בעניינו חיובי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גדל במשפחה נורמטיבית המוקיעה את מעשיו ושאיפותיו נורמטיביות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לעונש נטען כי יש לגזור את דינו של הנאשם בהתאם לפסיקה שלפני כניסתה לתוקף של הוראת השעה בעניין החמרת הענישה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ולתת משקל להמלצתו השיקומית של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משכך נטען קיימים סיכויי שיקום בעניינו של הנאשם המצדיקים חריגה לקולה ממתחם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שיושת עליו עונש מאסר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בדברו האחרון לעונש חזר והודה במעשיו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הסביר 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הוא עשה טעות בכך שהחזיק את האקדח עבור 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בהיותו נשק לא חוקי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אמר כי מעולם הוא לא החזיק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וביקש את רחמי בית המשפט לריצוי עונש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סיפר ש</w:t>
      </w:r>
      <w:r>
        <w:rPr>
          <w:rFonts w:ascii="David" w:hAnsi="David" w:cs="David"/>
          <w:sz w:val="24"/>
          <w:sz w:val="24"/>
          <w:szCs w:val="24"/>
          <w:rtl w:val="true"/>
        </w:rPr>
        <w:t>התחתן והוא אב לתינוקת בת שישה 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48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48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0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 xml:space="preserve">דיון והכרעה </w:t>
      </w:r>
    </w:p>
    <w:p>
      <w:pPr>
        <w:pStyle w:val="ListParagraph"/>
        <w:spacing w:lineRule="auto" w:line="480" w:before="0" w:after="0"/>
        <w:ind w:start="0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קביעת מתחם העונש ההולם בעבירה של החזקת נשק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ובכללן החזקת הנשק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פגועות במכלול ערכים חברתיים שמהותם היא שמירה על חיי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שלמות הגוף והנפש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והסדר הציבורי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פגיעתן החמורה של עבירות הכוללות שימוש בנשק משתקפת כמעט מדי יום בשגרה בלתי נסבלת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ותוצאותיהן הקשות מתבטאות בערעור תחושת הביטחון האישית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בפציעות ובאובדן חיי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פעם כשהקורבנות הם אנשים תמימים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בשל ויכוח על עניין של מה בכך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מקרים בהם הרקע למעשים הוא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אירועי טרור חמורים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למרבה הצער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בשנים האחרונות הפכו העבירות מתחום הנשק לכדי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ממש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ובאזורנו הוכרה זה שנים מכבר התופעה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מכת אזור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עמד על כך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י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אלרון ב</w:t>
      </w:r>
      <w:hyperlink r:id="rId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4439/19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סובח 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5.11.2019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בדבריו היפים לענייננו</w:t>
      </w:r>
      <w:r>
        <w:rPr>
          <w:rFonts w:cs="David" w:ascii="David" w:hAnsi="David"/>
          <w:sz w:val="24"/>
          <w:szCs w:val="24"/>
          <w:rtl w:val="true"/>
        </w:rPr>
        <w:t xml:space="preserve">: 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1077" w:end="794"/>
        <w:contextualSpacing/>
        <w:jc w:val="both"/>
        <w:rPr>
          <w:rFonts w:ascii="David" w:hAnsi="David" w:cs="David"/>
          <w:spacing w:val="10"/>
          <w:sz w:val="24"/>
          <w:szCs w:val="24"/>
        </w:rPr>
      </w:pPr>
      <w:r>
        <w:rPr>
          <w:rFonts w:cs="David" w:ascii="David" w:hAnsi="David"/>
          <w:spacing w:val="1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היא התשתית ו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הגורם בלעדו איין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" (</w:t>
      </w:r>
      <w:r>
        <w:rPr>
          <w:rFonts w:cs="David" w:ascii="David" w:hAnsi="David"/>
          <w:b/>
          <w:bCs/>
          <w:spacing w:val="10"/>
          <w:sz w:val="24"/>
          <w:szCs w:val="24"/>
        </w:rPr>
        <w:t>causa sine qua non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למגוון רחב של עבירות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החל בעבירות איומים ושוד מזוין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המשך בעבירות גרימת חבלה חמורה וכלה בעבירות המתה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. [...]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על כן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 xml:space="preserve">מעבר למאמץ 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לשים יד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גם ענישה מחמירה ומרתיעה בעבירות נשק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לרבות על עצם החזקה או רכישה שלא כדין של נשק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.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 [...]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 xml:space="preserve">בבחינת 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ייבוש הביצה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"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המשמשת ערש לגידולן של תופעות אלה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מהלך כזה מחייב הירתמות גם של בתי המשפט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על ידי ענישה מחמירה ומרתיעה לעבירות נשק בלתי חוקי באשר הן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pacing w:val="10"/>
          <w:sz w:val="24"/>
          <w:sz w:val="24"/>
          <w:szCs w:val="24"/>
          <w:rtl w:val="true"/>
        </w:rPr>
        <w:t>וכל שכן מקום שנעשה בנשק כזה שימוש בביצוע עבירות אלימות לסוגיהן</w:t>
      </w:r>
      <w:r>
        <w:rPr>
          <w:rFonts w:cs="David" w:ascii="David" w:hAnsi="David"/>
          <w:b/>
          <w:bCs/>
          <w:spacing w:val="10"/>
          <w:sz w:val="24"/>
          <w:szCs w:val="24"/>
          <w:rtl w:val="true"/>
        </w:rPr>
        <w:t>"</w:t>
      </w:r>
      <w:r>
        <w:rPr>
          <w:rFonts w:cs="David" w:ascii="David" w:hAnsi="David"/>
          <w:spacing w:val="10"/>
          <w:sz w:val="24"/>
          <w:szCs w:val="24"/>
          <w:rtl w:val="true"/>
        </w:rPr>
        <w:t>.</w:t>
      </w:r>
    </w:p>
    <w:p>
      <w:pPr>
        <w:pStyle w:val="ListParagraph"/>
        <w:spacing w:before="0" w:after="0"/>
        <w:ind w:end="0"/>
        <w:contextualSpacing/>
        <w:jc w:val="start"/>
        <w:rPr>
          <w:rFonts w:ascii="David" w:hAnsi="David" w:cs="David"/>
          <w:spacing w:val="10"/>
          <w:sz w:val="24"/>
          <w:szCs w:val="24"/>
        </w:rPr>
      </w:pPr>
      <w:r>
        <w:rPr>
          <w:rFonts w:cs="David" w:ascii="David" w:hAnsi="David"/>
          <w:spacing w:val="1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בעטיו של פוטנציאל הסיכון הגבוה הכרוך בעבירות אלו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קבע המחוקק ענישה מחמירה בגין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העונש המקסימלי לפי </w:t>
      </w:r>
      <w:hyperlink r:id="rId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1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 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שנכנס לתוקף ביום </w:t>
      </w:r>
      <w:r>
        <w:rPr>
          <w:rFonts w:cs="David" w:ascii="David" w:hAnsi="David"/>
          <w:sz w:val="24"/>
          <w:szCs w:val="24"/>
        </w:rPr>
        <w:t>8.12.2021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ולא חל 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</w:t>
      </w:r>
      <w:hyperlink r:id="rId12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בהוראת שעה 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עונש מינימום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שלא יפחת מרבע העונש המרבי שנקבע לאותה 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אלא מטעמים מיוחדים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הוראת השעה</w:t>
      </w:r>
      <w:r>
        <w:rPr>
          <w:rFonts w:cs="David" w:ascii="David" w:hAnsi="David"/>
          <w:sz w:val="24"/>
          <w:szCs w:val="24"/>
          <w:rtl w:val="true"/>
        </w:rPr>
        <w:t>") (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4456/21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עבסה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23.1.2022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קבע בפסיקתו העקבית שיש לעקור מן השורש את התופעה הפסולה של ביצוע 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כ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דרגות חומרת</w:t>
      </w:r>
      <w:r>
        <w:rPr>
          <w:rFonts w:ascii="David" w:hAnsi="David" w:cs="David"/>
          <w:sz w:val="24"/>
          <w:sz w:val="24"/>
          <w:szCs w:val="24"/>
          <w:rtl w:val="true"/>
        </w:rPr>
        <w:t>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ומכאן מתחייבת ענישה חמורה ובלתי מתפשרת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כדי להעביר מסר מרתיע ונחרץ מפני ביצוען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3332/22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קוואסמי ואח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1.12.2022</w:t>
      </w:r>
      <w:r>
        <w:rPr>
          <w:rFonts w:cs="David" w:ascii="David" w:hAnsi="David"/>
          <w:sz w:val="24"/>
          <w:szCs w:val="24"/>
          <w:rtl w:val="true"/>
        </w:rPr>
        <w:t>);</w:t>
      </w:r>
      <w:r>
        <w:rPr>
          <w:rFonts w:cs="David" w:ascii="David" w:hAnsi="David"/>
          <w:sz w:val="24"/>
          <w:szCs w:val="24"/>
          <w:highlight w:val="yellow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22.5.2022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1745/20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עקל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11.2.2021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2422/14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21.12.2014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4945/13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סלימאן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19.1.2014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Normal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בהחזקת אקדח בחצר ביתו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עבור 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7.2.2021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>בטרם נכנסה הוראת השעה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לתוקף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ואולם פסיקת בית המשפט קבעה שיש לבחון את גזירת העונש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ברוח תיקון הענישה המחמיר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1077" w:end="794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תיקון זה אינו חל מטבע הדברים במקרה דנן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ואין בו כדי להשפיע על תוצאת הערעור – אלא שחקיקתו מדגישה לפנינו פעם נוספת את שידענו זה מכבר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הוא הצורך לנקוט במדיניות ענישה מחמירה ומרתיעה כלפי מי שמסכנים את שלום הציבור וביטחונו בהפרת האיסורים הנוגעים לנשק וסחר בו </w:t>
      </w:r>
      <w:r>
        <w:rPr>
          <w:rFonts w:cs="David" w:ascii="David" w:hAnsi="David"/>
          <w:b/>
          <w:bCs/>
          <w:rtl w:val="true"/>
        </w:rPr>
        <w:t xml:space="preserve">[...]" </w:t>
      </w:r>
      <w:r>
        <w:rPr>
          <w:rFonts w:cs="David" w:ascii="David" w:hAnsi="David"/>
          <w:rtl w:val="true"/>
        </w:rPr>
        <w:t>(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8869/21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קואסמה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13.3.2022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ind w:start="1077" w:end="794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להלן אפנה לענישה בגין החזקת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במקרים שלפני כניסתה לתוקף של הוראת השעה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וממנה ניתן להקיש למתחם העונש ההולם בענייננו</w:t>
      </w:r>
      <w:r>
        <w:rPr>
          <w:rFonts w:cs="David" w:ascii="David" w:hAnsi="David"/>
          <w:sz w:val="24"/>
          <w:szCs w:val="24"/>
          <w:rtl w:val="true"/>
        </w:rPr>
        <w:t xml:space="preserve">: 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2919/22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שעבאן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1.8.2022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התקבל ערעור המדינה על זיכויו של המבקש מהחזקת אקדח שהשליך עם הגעת שוטרים למתחם ביתו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מפאת טענות לאי חוקיות החיפוש ולפסילת האקדח כראיה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 לכך קבע בית משפט השלום ברמלה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מתחם עונש שנע בין </w:t>
      </w:r>
      <w:r>
        <w:rPr>
          <w:rFonts w:cs="David" w:ascii="David" w:hAnsi="David"/>
          <w:sz w:val="24"/>
          <w:szCs w:val="24"/>
          <w:u w:val="single"/>
        </w:rPr>
        <w:t>12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- </w:t>
      </w:r>
      <w:r>
        <w:rPr>
          <w:rFonts w:cs="David" w:ascii="David" w:hAnsi="David"/>
          <w:sz w:val="24"/>
          <w:szCs w:val="24"/>
          <w:u w:val="single"/>
        </w:rPr>
        <w:t>36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 הנאשם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שהגיש הנאשם על חומרת העונש התקבל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ועונשו הופחת ל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- </w:t>
      </w:r>
      <w:r>
        <w:rPr>
          <w:rFonts w:cs="David" w:ascii="David" w:hAnsi="David"/>
          <w:sz w:val="24"/>
          <w:szCs w:val="24"/>
          <w:u w:val="single"/>
        </w:rPr>
        <w:t>15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חרף עברו הפלילי הכבד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בשל נסיבותיו האישיות הקשות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ובהתחשב בהתנהלות השוטרים באירוע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בקשת רשות ערעור שהגיש המבקש נדחתה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5613/20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אלהוזייל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25.8.2020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החזיק בביתו אקדח עם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מתחם שנע בין </w:t>
      </w:r>
      <w:r>
        <w:rPr>
          <w:rFonts w:cs="David" w:ascii="David" w:hAnsi="David"/>
          <w:sz w:val="24"/>
          <w:szCs w:val="24"/>
          <w:u w:val="single"/>
        </w:rPr>
        <w:t>11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- </w:t>
      </w:r>
      <w:r>
        <w:rPr>
          <w:rFonts w:cs="David" w:ascii="David" w:hAnsi="David"/>
          <w:sz w:val="24"/>
          <w:szCs w:val="24"/>
          <w:u w:val="single"/>
        </w:rPr>
        <w:t>33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ולאור תסקיר חיובי שהמליץ על ענישה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ועבר פלילי ישן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הושתו על ה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נאשם </w:t>
      </w:r>
      <w:r>
        <w:rPr>
          <w:rFonts w:cs="David" w:ascii="David" w:hAnsi="David"/>
          <w:sz w:val="24"/>
          <w:szCs w:val="24"/>
          <w:u w:val="single"/>
        </w:rPr>
        <w:t>12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בקשת רשות ערעור שהגיש הנאשם נדחתה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545/20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3.5.2021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פסיקה שהגישה ההגנה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הנאשם לפי הודאתו בהחזקת אקדח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שהיה תקול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לזמן קצר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טעון במחסנית ריקה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שהוחזקו על גופו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מתחם שנע בין </w:t>
      </w:r>
      <w:r>
        <w:rPr>
          <w:rFonts w:cs="David" w:ascii="David" w:hAnsi="David"/>
          <w:sz w:val="24"/>
          <w:szCs w:val="24"/>
          <w:u w:val="single"/>
        </w:rPr>
        <w:t>10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</w:t>
      </w:r>
      <w:r>
        <w:rPr>
          <w:rFonts w:cs="David" w:ascii="David" w:hAnsi="David"/>
          <w:sz w:val="24"/>
          <w:szCs w:val="24"/>
          <w:u w:val="single"/>
          <w:rtl w:val="true"/>
        </w:rPr>
        <w:t>-</w:t>
      </w:r>
      <w:r>
        <w:rPr>
          <w:rFonts w:cs="David" w:ascii="David" w:hAnsi="David"/>
          <w:sz w:val="24"/>
          <w:szCs w:val="24"/>
          <w:u w:val="single"/>
        </w:rPr>
        <w:t>24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בהעדר הרשעות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ותסקיר חיובי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ונגזרו על הנאשם </w:t>
      </w:r>
      <w:r>
        <w:rPr>
          <w:rFonts w:cs="David" w:ascii="David" w:hAnsi="David"/>
          <w:sz w:val="24"/>
          <w:szCs w:val="24"/>
          <w:u w:val="single"/>
        </w:rPr>
        <w:t>12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הערעור שהגיש נדחה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ונקבע כי העונש שנגזר הוא על הצד המקל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8730/18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מרשה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24.1.2019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פסיקה שהגישה המאשימה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נדון נאשם שהורשע בכך שהחזיק בביתו אקדח עם מחסנית 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לעונש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מאסר למשך </w:t>
      </w:r>
      <w:r>
        <w:rPr>
          <w:rFonts w:cs="David" w:ascii="David" w:hAnsi="David"/>
          <w:sz w:val="24"/>
          <w:szCs w:val="24"/>
          <w:u w:val="single"/>
        </w:rPr>
        <w:t>8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שהתקבל ערעור המדינה על קולת העונש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ונקבע מתחם שנע בין </w:t>
      </w:r>
      <w:r>
        <w:rPr>
          <w:rFonts w:cs="David" w:ascii="David" w:hAnsi="David"/>
          <w:sz w:val="24"/>
          <w:szCs w:val="24"/>
          <w:u w:val="single"/>
        </w:rPr>
        <w:t>8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</w:t>
      </w:r>
      <w:r>
        <w:rPr>
          <w:rFonts w:cs="David" w:ascii="David" w:hAnsi="David"/>
          <w:sz w:val="24"/>
          <w:szCs w:val="24"/>
          <w:u w:val="single"/>
          <w:rtl w:val="true"/>
        </w:rPr>
        <w:t>-</w:t>
      </w:r>
      <w:r>
        <w:rPr>
          <w:rFonts w:cs="David" w:ascii="David" w:hAnsi="David"/>
          <w:sz w:val="24"/>
          <w:szCs w:val="24"/>
          <w:u w:val="single"/>
        </w:rPr>
        <w:t>18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בקשת רשות ערעור שהגישה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נדחתה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9373/10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ותד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14.9.2011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המערער בביתו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מתחת למזרן המיטה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אקדח ומחסנית וכדורים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</w:t>
      </w:r>
      <w:r>
        <w:rPr>
          <w:rFonts w:cs="David" w:ascii="David" w:hAnsi="David"/>
          <w:sz w:val="24"/>
          <w:szCs w:val="24"/>
        </w:rPr>
        <w:t>63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נוספים בחצר הבית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ובית המשפט העליון הקל בעונשו והעמידו על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נתתי דעתי לפסיקה רלוונטית של בתי משפט השלום אליהם הפנה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>: (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רמלה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30769-12-19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אלאסיל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21.3.2021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בהחזקת אקדח ומחסנית עם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בביתו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נקבע מתחם שנע בין </w:t>
      </w:r>
      <w:r>
        <w:rPr>
          <w:rFonts w:cs="David" w:ascii="David" w:hAnsi="David"/>
          <w:sz w:val="24"/>
          <w:szCs w:val="24"/>
          <w:u w:val="single"/>
        </w:rPr>
        <w:t>8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- </w:t>
      </w:r>
      <w:r>
        <w:rPr>
          <w:rFonts w:cs="David" w:ascii="David" w:hAnsi="David"/>
          <w:sz w:val="24"/>
          <w:szCs w:val="24"/>
          <w:u w:val="single"/>
        </w:rPr>
        <w:t>18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חודשים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ונגזר עונש של </w:t>
      </w:r>
      <w:r>
        <w:rPr>
          <w:rFonts w:cs="David" w:ascii="David" w:hAnsi="David"/>
          <w:sz w:val="24"/>
          <w:szCs w:val="24"/>
          <w:u w:val="single"/>
        </w:rPr>
        <w:t>12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 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לנאשם נשוי ואב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ילדים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חדרה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10171-06-22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עמאש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6.12.2022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החזקת תת מקלע מאולתר בביתו –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נקבע מתחם בין </w:t>
      </w:r>
      <w:r>
        <w:rPr>
          <w:rFonts w:cs="David" w:ascii="David" w:hAnsi="David"/>
          <w:sz w:val="24"/>
          <w:szCs w:val="24"/>
          <w:u w:val="single"/>
        </w:rPr>
        <w:t>12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- </w:t>
      </w:r>
      <w:r>
        <w:rPr>
          <w:rFonts w:cs="David" w:ascii="David" w:hAnsi="David"/>
          <w:sz w:val="24"/>
          <w:szCs w:val="24"/>
          <w:u w:val="single"/>
        </w:rPr>
        <w:t>30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ונגזר על נאשם נעדר עבר פלילי – 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ירושלים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2144-04-21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חסן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12.6.2022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בגין החזקת אקדח שהוסב מאקדח הזנקה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בביתו – נקבע מתחם שנע בין </w:t>
      </w:r>
      <w:r>
        <w:rPr>
          <w:rFonts w:cs="David" w:ascii="David" w:hAnsi="David"/>
          <w:sz w:val="24"/>
          <w:szCs w:val="24"/>
          <w:u w:val="single"/>
        </w:rPr>
        <w:t>12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ועד </w:t>
      </w:r>
      <w:r>
        <w:rPr>
          <w:rFonts w:cs="David" w:ascii="David" w:hAnsi="David"/>
          <w:sz w:val="24"/>
          <w:szCs w:val="24"/>
          <w:u w:val="single"/>
        </w:rPr>
        <w:t>30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ונגזר על הנאשם צעיר נעדר עבר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בעל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תסקיר חיובי –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עיינתי בפסיקה נוספת שהוגשה 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מצאתי אותה רלוונטית דיה בשים לב שהיא מתייחסת להחזקת אקדח בנסיבות חמורות מענייננו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3288/14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קריספיל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24.8.2014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>הורשע נאשם בכך שיצא מביתו כשהוא אוחז שקית עם אקדח גנוב טעון ולידו משתיק קול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ונדון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55185-02-20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לאנבארי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30.1.2022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נאשם שהחזיק ברכב אקדח טעון במחסנית עם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ונדון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ומן הכלל אל הפרט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כאמור הנאשם החזיק באקדח שהוטמן במקרר גלידות בחצר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והוחזק עבור 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מחסנית או תחמושת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לפיכך מדובר בנסיבות מקלות באופן יחסי בשונה ממצב בו הנאשם החזיק נשק ששייך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במקום נגיש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טעון או עם תחמושת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אף שיתכנו מקרים בהם נכון יהיה לקבוע מתחם ענישה חמור יותר בגין החזקת אקדח – כל מקרה לנסיבותיו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ובענייננו אני קובעת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שמתחם העונש ההולם נע בין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24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240"/>
        <w:ind w:end="0"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קביעת העונש בתוך המתחם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לזכותו של הנאשם אזקוף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את </w:t>
      </w:r>
      <w:r>
        <w:rPr>
          <w:rFonts w:ascii="David" w:hAnsi="David" w:cs="David"/>
          <w:sz w:val="24"/>
          <w:sz w:val="24"/>
          <w:szCs w:val="24"/>
          <w:rtl w:val="true"/>
        </w:rPr>
        <w:t>נסיבותיו לקולה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בהיותו צעיר בן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נשוי ואב לתינוקת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התמודד עם נסיבות חיים מורכבות בילדותו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כעולה מתסקיר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הודה במיוחס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נטל אחריות וביטא בושה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כישלון אישי וחרטה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כשלכך תרמה גובת משפחתו שהוקיעה את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ולדעת שירות המבחן הציבה עבורו גבול ברור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והיות שהנאשם מבטא שאיפות נורמטיביות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עמד על סיכויי שיקום במצבו והמליץ על ענישה של מאסר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36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שהה במעצר כמעט חודשיים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וכששוחרר שהה במעצר 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וניתן להעריך כי ההליך הפלילי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ומעצרו הממושך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נתנו בו את אותותיהם המרתיעים מפני ביצוע עבירות דומות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מאז ביצוע העבירה חלפו שנתיים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והנאשם לא הסתבך בעבירות נוספות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24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480" w:before="0" w:after="0"/>
        <w:ind w:hanging="360" w:start="360" w:end="0"/>
        <w:contextualSpacing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מכל הטעמים הללו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הגעתי למסקנה כי נכון לקבוע את עונשו של הנאשם בתחתית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before="0" w:after="0"/>
        <w:ind w:end="0"/>
        <w:contextualSpacing/>
        <w:jc w:val="start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pacing w:lineRule="auto" w:line="480" w:before="0" w:after="0"/>
        <w:ind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נוכח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לעיל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החלטתי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לגזור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בקיזוז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לרישומי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/>
          <w:u w:val="single"/>
          <w:rtl w:val="true"/>
        </w:rPr>
        <w:t xml:space="preserve">הנאשם יתייצב לריצוי עונשו בבית סוהר 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הדרים</w:t>
      </w:r>
      <w:r>
        <w:rPr>
          <w:rFonts w:cs="David" w:ascii="David" w:hAnsi="David"/>
          <w:u w:val="single"/>
          <w:rtl w:val="true"/>
        </w:rPr>
        <w:t xml:space="preserve">" </w:t>
      </w:r>
      <w:r>
        <w:rPr>
          <w:rFonts w:ascii="David" w:hAnsi="David"/>
          <w:u w:val="single"/>
          <w:rtl w:val="true"/>
        </w:rPr>
        <w:t xml:space="preserve">ביום </w:t>
      </w:r>
      <w:r>
        <w:rPr>
          <w:rFonts w:cs="David" w:ascii="David" w:hAnsi="David"/>
          <w:u w:val="single"/>
        </w:rPr>
        <w:t>1.3.2023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עד השעה </w:t>
      </w:r>
      <w:r>
        <w:rPr>
          <w:rFonts w:cs="David" w:ascii="David" w:hAnsi="David"/>
          <w:u w:val="single"/>
        </w:rPr>
        <w:t>10:00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כשברשותו תעודת זהות ועותק מגזר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₪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</w:t>
      </w:r>
      <w:r>
        <w:rPr/>
        <w:t>4</w:t>
      </w:r>
      <w:r>
        <w:rPr/>
        <w:t>.2023</w:t>
      </w:r>
      <w:r>
        <w:rPr>
          <w:rtl w:val="true"/>
        </w:rPr>
        <w:t xml:space="preserve"> (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קיזוזו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ויתרת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עיקול</w:t>
      </w:r>
      <w:r>
        <w:rPr>
          <w:rtl w:val="true"/>
        </w:rPr>
        <w:t>).</w:t>
      </w:r>
    </w:p>
    <w:p>
      <w:pPr>
        <w:pStyle w:val="Normal"/>
        <w:spacing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הערבויות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והתנאים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המגבילים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יעמדו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בתוקפן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להתייצבות</w:t>
      </w:r>
      <w:r>
        <w:rPr>
          <w:u w:val="single"/>
          <w:rtl w:val="true"/>
        </w:rPr>
        <w:t>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להשמדת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המוצגים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מחוזי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מרכז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לוד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1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 טבת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 עוה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אורעד שלוו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הנאשם וב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כ </w:t>
      </w:r>
      <w:bookmarkEnd w:id="11"/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חי אוזן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אילה אורן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9211-05-21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אזברגה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dstrike w:val="false"/>
        <w:strike w:val="false"/>
        <w:u w:val="none"/>
        <w:b w:val="false"/>
        <w:rFonts w:cs="David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WW8Num3z0">
    <w:name w:val="WW8Num3z0"/>
    <w:qFormat/>
    <w:rPr>
      <w:rFonts w:cs="David"/>
      <w:b w:val="false"/>
      <w:strike w:val="false"/>
      <w:dstrike w:val="false"/>
      <w:u w:val="none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5824897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g" TargetMode="External"/><Relationship Id="rId13" Type="http://schemas.openxmlformats.org/officeDocument/2006/relationships/hyperlink" Target="http://www.nevo.co.il/case/27734980" TargetMode="External"/><Relationship Id="rId14" Type="http://schemas.openxmlformats.org/officeDocument/2006/relationships/hyperlink" Target="http://www.nevo.co.il/case/28614520" TargetMode="External"/><Relationship Id="rId15" Type="http://schemas.openxmlformats.org/officeDocument/2006/relationships/hyperlink" Target="http://www.nevo.co.il/case/26518589" TargetMode="External"/><Relationship Id="rId16" Type="http://schemas.openxmlformats.org/officeDocument/2006/relationships/hyperlink" Target="http://www.nevo.co.il/case/13090914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case/28200855" TargetMode="External"/><Relationship Id="rId19" Type="http://schemas.openxmlformats.org/officeDocument/2006/relationships/hyperlink" Target="http://www.nevo.co.il/case/28567439" TargetMode="External"/><Relationship Id="rId20" Type="http://schemas.openxmlformats.org/officeDocument/2006/relationships/hyperlink" Target="http://www.nevo.co.il/case/26913995" TargetMode="External"/><Relationship Id="rId21" Type="http://schemas.openxmlformats.org/officeDocument/2006/relationships/hyperlink" Target="http://www.nevo.co.il/case/26383419" TargetMode="External"/><Relationship Id="rId22" Type="http://schemas.openxmlformats.org/officeDocument/2006/relationships/hyperlink" Target="http://www.nevo.co.il/case/25217995" TargetMode="External"/><Relationship Id="rId23" Type="http://schemas.openxmlformats.org/officeDocument/2006/relationships/hyperlink" Target="http://www.nevo.co.il/case/6151556" TargetMode="External"/><Relationship Id="rId24" Type="http://schemas.openxmlformats.org/officeDocument/2006/relationships/hyperlink" Target="http://www.nevo.co.il/case/26266873" TargetMode="External"/><Relationship Id="rId25" Type="http://schemas.openxmlformats.org/officeDocument/2006/relationships/hyperlink" Target="http://www.nevo.co.il/case/28665331" TargetMode="External"/><Relationship Id="rId26" Type="http://schemas.openxmlformats.org/officeDocument/2006/relationships/hyperlink" Target="http://www.nevo.co.il/case/27511068" TargetMode="External"/><Relationship Id="rId27" Type="http://schemas.openxmlformats.org/officeDocument/2006/relationships/hyperlink" Target="http://www.nevo.co.il/case/16913730" TargetMode="External"/><Relationship Id="rId28" Type="http://schemas.openxmlformats.org/officeDocument/2006/relationships/hyperlink" Target="http://www.nevo.co.il/case/26483432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2024-01-22T14:31:00Z</dcterms:created>
  <dc:creator> </dc:creator>
  <dc:description/>
  <cp:keywords/>
  <dc:language>en-IL</dc:language>
  <cp:lastModifiedBy>h1</cp:lastModifiedBy>
  <dcterms:modified xsi:type="dcterms:W3CDTF">2024-01-22T14:31:00Z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אזברגה</vt:lpwstr>
  </property>
  <property fmtid="{D5CDD505-2E9C-101B-9397-08002B2CF9AE}" pid="4" name="CASESLISTTMP1">
    <vt:lpwstr>25824897;27734980;28614520;26518589;13090914;7791493;28200855;28567439;26913995;26383419;25217995;6151556;26266873;28665331;27511068;16913730;26483432</vt:lpwstr>
  </property>
  <property fmtid="{D5CDD505-2E9C-101B-9397-08002B2CF9AE}" pid="5" name="CITY">
    <vt:lpwstr>רמ'</vt:lpwstr>
  </property>
  <property fmtid="{D5CDD505-2E9C-101B-9397-08002B2CF9AE}" pid="6" name="DATE">
    <vt:lpwstr>20230112</vt:lpwstr>
  </property>
  <property fmtid="{D5CDD505-2E9C-101B-9397-08002B2CF9AE}" pid="7" name="ISABSTRACT">
    <vt:lpwstr>Y</vt:lpwstr>
  </property>
  <property fmtid="{D5CDD505-2E9C-101B-9397-08002B2CF9AE}" pid="8" name="JUDGE">
    <vt:lpwstr>אילה אורן</vt:lpwstr>
  </property>
  <property fmtid="{D5CDD505-2E9C-101B-9397-08002B2CF9AE}" pid="9" name="LAWLISTTMP1">
    <vt:lpwstr>70301/144.a:2;144.g</vt:lpwstr>
  </property>
  <property fmtid="{D5CDD505-2E9C-101B-9397-08002B2CF9AE}" pid="10" name="NEWPARTA">
    <vt:lpwstr>9211</vt:lpwstr>
  </property>
  <property fmtid="{D5CDD505-2E9C-101B-9397-08002B2CF9AE}" pid="11" name="NEWPARTB">
    <vt:lpwstr>05</vt:lpwstr>
  </property>
  <property fmtid="{D5CDD505-2E9C-101B-9397-08002B2CF9AE}" pid="12" name="NEWPARTC">
    <vt:lpwstr>21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380020230112</vt:lpwstr>
  </property>
  <property fmtid="{D5CDD505-2E9C-101B-9397-08002B2CF9AE}" pid="17" name="TYPE_N_DATE">
    <vt:lpwstr>38020230112</vt:lpwstr>
  </property>
  <property fmtid="{D5CDD505-2E9C-101B-9397-08002B2CF9AE}" pid="18" name="WORDNUMPAGES">
    <vt:lpwstr>7</vt:lpwstr>
  </property>
</Properties>
</file>