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אדר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תשע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ט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מרץ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2019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lang w:val="en-US" w:eastAsia="en-US"/>
                </w:rPr>
                <w:t>9569-10-18</w:t>
              </w:r>
            </w:hyperlink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אלקדירי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431428/2018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מתמחה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קלסון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עודאי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בן סלימאן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אלקדירי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עצור בפיקוח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אוהד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סלמי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186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244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bidi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bookmarkStart w:id="6" w:name="PsakDin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גזר דין</w:t>
      </w:r>
      <w:bookmarkEnd w:id="6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כתב האישום והסדר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7" w:name="ABSTRACT_START"/>
      <w:bookmarkEnd w:id="7"/>
      <w:r>
        <w:rPr>
          <w:rFonts w:ascii="Arial" w:hAnsi="Arial" w:cs="Arial"/>
          <w:rtl w:val="true"/>
          <w:lang w:val="en-US" w:eastAsia="en-US"/>
        </w:rPr>
        <w:t>הנאשם שלפני נותן את הדין בגין עבירות של החזקת נשק ותחמושת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בניגוד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וסיפא 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החוק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וכן בעבירה של שיבוש מהלכי 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בניגוד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244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בהתאם לעובדות כתב האישום המתוקן כא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בהן הודה הנאשם במסגרת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נתפס הנאשם מחזיק בכלי נשק חם ובתחמושת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כדלקמן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תושב הישוב  רהט בנגב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החזיק בביתו באקדח מסוג </w:t>
      </w:r>
      <w:r>
        <w:rPr>
          <w:rFonts w:cs="Arial" w:ascii="Arial" w:hAnsi="Arial"/>
          <w:lang w:val="en-US" w:eastAsia="en-US"/>
        </w:rPr>
        <w:t>FN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במחסנית כדורי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 וכן החזיק 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ברימון הלם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 זאת שלא כדין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בעבירה של שיבוש מהלכי משפט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עת הגיעו שוטרים לערוך חיפוש בביתו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27.9.2018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חשש הנאשם כי יימצא הנשק על ידי השוטרים וזרק את האקדח מחוץ לחלון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השליך את רימון ההלם בסמוך לשטח בית הספר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אל פורעת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cs="Arial" w:ascii="Arial" w:hAnsi="Arial"/>
          <w:rtl w:val="true"/>
          <w:lang w:val="en-US" w:eastAsia="en-US"/>
        </w:rPr>
        <w:t>–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בו שהו אותה עת תלמידים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קיבלו הוראה שלא לצאת לחצר עד אשר ייאסף רימון ההלם על ידי המשטרה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בין הצדדים נקשר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במסגרתו תוקן כתב האישום והנאשם הופנה להערכת שירות המבחן למבוגרים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הסדר הטיעון לא כלל הסכמות עונשיות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מי מהצדדים לא הגיש ראיות לעניין העונש בתיק 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הערכת שירות המבחן למבוגרים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בעניינו של הנאשם  הוגש 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המפרט את נסיבותיו האישיות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כבן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ילדים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עד למעצרו עבד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לטענתו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במשחטת עופות השייכת לבן משפחתו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מסר לשירות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ביום בו נתפס בעבירה פנה אליו מכר ובקש ממנו להסתיר עבורו את הנשק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ייחס את מעשיו לקודים תרבותיים של מחויבות וכבוד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העריך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ברקע לעבירה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קשרים שוליים של הנאשם עם אחרים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העריך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הנאשם נוטה לרצות את סביבתו ומתקשה להציב לעצמו ולסביבתו גבולות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מתוך תפיסה מעוותת של ערכים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מסורת ומחויבות חברתית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לנאשם קושי לכלכל את צעדיו באופן עצמאי ולשקול את משמעותם והשלכותיהם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עליו ועל סביבתו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מנגד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התרשם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ההליכים שננקטו נגד הנאשם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מהווים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בעבורו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גורם מרתיע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מסתיר מידע הקשור לנסיבות מעורבותו בעבירות וכי אינו בשל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בעיתוי הנוכחי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להתערבות טיפולית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אף המפורט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 שירות המבחן בהמלצה להטיל על הנאשם עונש מאסר לריצוי בדרך של עבודות שירות ובנוסף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צו מבחן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המאשימה</w:t>
      </w:r>
      <w:r>
        <w:rPr>
          <w:rFonts w:ascii="Arial" w:hAnsi="Arial" w:cs="Arial"/>
          <w:rtl w:val="true"/>
          <w:lang w:val="en-US" w:eastAsia="en-US"/>
        </w:rPr>
        <w:t xml:space="preserve"> הגישה טענותיה לעונש בכתב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והשלימה אותן על פה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המאשימה הדגישה את פוטנציאל הסיכון הקטלני הנובע מהעבירות שעבר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הנשק עלול לשמש גורמים עברייניים ואף גורמים המבקשים את רעתה של מדינת ישראל לצורך עבירות ביטחון ועבירות שנאה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המאשימה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החזיק באקדח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מחסנית כדורים ואף רימון הלם בביתו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בית מגורים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המהווה סכנה כלפיי דרי הבית ואורחיו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ביקשה המאשימה לייחס משנה חומרה לנסיון הנאשם לשבש החקירה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הנאשם אינו בוחל לסכן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מנת למלט עצמו מן הדין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המאשימה הפנתה למדיניות הענישה בתקופה האחרונה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בעקבות הנחי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ascii="Arial" w:hAnsi="Arial" w:cs="Arial"/>
          <w:rtl w:val="true"/>
          <w:lang w:val="en-US" w:eastAsia="en-US"/>
        </w:rPr>
        <w:t xml:space="preserve">ת פרקליט המדינה מספר </w:t>
      </w:r>
      <w:r>
        <w:rPr>
          <w:rFonts w:cs="Arial" w:ascii="Arial" w:hAnsi="Arial"/>
          <w:lang w:val="en-US" w:eastAsia="en-US"/>
        </w:rPr>
        <w:t>9.16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בהתאם לה עותרת ה</w:t>
      </w:r>
      <w:r>
        <w:rPr>
          <w:rFonts w:ascii="Arial" w:hAnsi="Arial" w:cs="Arial"/>
          <w:rtl w:val="true"/>
          <w:lang w:val="en-US" w:eastAsia="en-US"/>
        </w:rPr>
        <w:t>מאשימה</w:t>
      </w:r>
      <w:r>
        <w:rPr>
          <w:rFonts w:ascii="Arial" w:hAnsi="Arial" w:cs="Arial"/>
          <w:rtl w:val="true"/>
          <w:lang w:val="en-US" w:eastAsia="en-US"/>
        </w:rPr>
        <w:t xml:space="preserve"> להחמר</w:t>
      </w:r>
      <w:r>
        <w:rPr>
          <w:rFonts w:ascii="Arial" w:hAnsi="Arial" w:cs="Arial"/>
          <w:rtl w:val="true"/>
          <w:lang w:val="en-US" w:eastAsia="en-US"/>
        </w:rPr>
        <w:t xml:space="preserve">ת התגובה העונשית </w:t>
      </w:r>
      <w:r>
        <w:rPr>
          <w:rFonts w:ascii="Arial" w:hAnsi="Arial" w:cs="Arial"/>
          <w:rtl w:val="true"/>
          <w:lang w:val="en-US" w:eastAsia="en-US"/>
        </w:rPr>
        <w:t>בגין עבירות נשק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לנוכח סוג כלי הנשק במקרה דנן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אופן החזקתם והנסיון לשיבוש מהלכי משפט – עתרה המאשימה למתחם 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שינוע בין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ועד </w:t>
      </w:r>
      <w:r>
        <w:rPr>
          <w:rFonts w:cs="Arial" w:ascii="Arial" w:hAnsi="Arial"/>
          <w:lang w:val="en-US" w:eastAsia="en-US"/>
        </w:rPr>
        <w:t>42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לצד עונש מאסר מותנה מרתיע וקנס משמעותי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בנוגע לרכיב המאסר בפועל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בהיעדר הרשעות קודמות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עתרה המאשימה להשית על הנאשם עונש בחלקו התחתון של המתחם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ההגנה</w:t>
      </w:r>
      <w:r>
        <w:rPr>
          <w:rFonts w:ascii="Arial" w:hAnsi="Arial" w:cs="Arial"/>
          <w:rtl w:val="true"/>
          <w:lang w:val="en-US" w:eastAsia="en-US"/>
        </w:rPr>
        <w:t xml:space="preserve"> ביקשה ליתן משקל משמעותי לנסיבותיו האישיות של הנאשם ולעובדה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שזוהי הסתבכותו הראשונה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לטענת ההגנה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נטל הנאשם אחריות על מעשיו והוא מבין את חומרתם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עותרת לאמץ המלצת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במסגרת מתחם ענישה אשר נע בין עונש צופה פני עתיד ועד לעונש של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ירוצו בעבודות שירות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כאן המקום לציין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במהלך שמיעת פרשת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נתגלעה מחלוקת בין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בנוגע לפרשנות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ליתר דיוק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סעיף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בפרק א</w:t>
      </w:r>
      <w:r>
        <w:rPr>
          <w:rFonts w:cs="Arial" w:ascii="Arial" w:hAnsi="Arial"/>
          <w:rtl w:val="true"/>
          <w:lang w:val="en-US" w:eastAsia="en-US"/>
        </w:rPr>
        <w:t>' (</w:t>
      </w:r>
      <w:r>
        <w:rPr>
          <w:rFonts w:ascii="Arial" w:hAnsi="Arial" w:cs="Arial"/>
          <w:rtl w:val="true"/>
          <w:lang w:val="en-US" w:eastAsia="en-US"/>
        </w:rPr>
        <w:t>העובדות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לכתב האישום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לטענת התביעה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קטע המשפט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מחסנית כדורי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מתייחס להחזקת מחסנית ובה כדורי תחמושת מאותו הסוג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ואילו לטענת ההגנה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כתב האישום המתוקן מתייחס להחזקת מחסנית בלבד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בדברו האחרון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מסר כי מצטער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ציין כי אביו חולה וכי זו הפעם הראשונה והאחרונה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ראשית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לעניין טענת ההגנה כי כתב האישום המתוקן אינו כולל החזקת כדורים וכי המדובר בתפיסת מחסנית ריקה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מפנה בית המשפט את הצדדים לדברי הנאשם בדיון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עת הודה הנאשם בכתב האישום המתוקן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ראו פרוטוקול הדיון מיום </w:t>
      </w:r>
      <w:r>
        <w:rPr>
          <w:rFonts w:cs="Arial" w:ascii="Arial" w:hAnsi="Arial"/>
          <w:lang w:val="en-US" w:eastAsia="en-US"/>
        </w:rPr>
        <w:t>25.11.2018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–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לפני חברי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סגן הנשיאה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השופט א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ברסלר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גונן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haroni"/>
          <w:lang w:val="en-US" w:eastAsia="en-US"/>
        </w:rPr>
      </w:pPr>
      <w:r>
        <w:rPr>
          <w:rFonts w:ascii="Arial" w:hAnsi="Arial" w:cs="Aharoni"/>
          <w:b/>
          <w:b/>
          <w:bCs/>
          <w:u w:val="single"/>
          <w:rtl w:val="true"/>
          <w:lang w:val="en-US" w:eastAsia="en-US"/>
        </w:rPr>
        <w:t>הנאשם</w:t>
      </w:r>
      <w:r>
        <w:rPr>
          <w:rFonts w:cs="Aharoni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haroni"/>
          <w:lang w:val="en-US" w:eastAsia="en-US"/>
        </w:rPr>
      </w:pPr>
      <w:r>
        <w:rPr>
          <w:rFonts w:ascii="Arial" w:hAnsi="Arial" w:cs="Aharoni"/>
          <w:rtl w:val="true"/>
          <w:lang w:val="en-US" w:eastAsia="en-US"/>
        </w:rPr>
        <w:t>אני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מודה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בעובדות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כתב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האישום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המתוקן</w:t>
      </w:r>
      <w:r>
        <w:rPr>
          <w:rFonts w:cs="Aharoni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haroni"/>
          <w:rtl w:val="true"/>
          <w:lang w:val="en-US" w:eastAsia="en-US"/>
        </w:rPr>
        <w:t>לרבות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שהחזקתי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בבית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אקדח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מסוג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cs="Aharoni" w:ascii="Arial" w:hAnsi="Arial"/>
          <w:lang w:val="en-US" w:eastAsia="en-US"/>
        </w:rPr>
        <w:t>FN</w:t>
      </w:r>
      <w:r>
        <w:rPr>
          <w:rFonts w:cs="Aharoni" w:ascii="Arial" w:hAnsi="Arial"/>
          <w:rtl w:val="true"/>
          <w:lang w:val="en-US" w:eastAsia="en-US"/>
        </w:rPr>
        <w:t xml:space="preserve"> </w:t>
      </w:r>
      <w:r>
        <w:rPr>
          <w:rFonts w:cs="Aharoni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עם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u w:val="single"/>
          <w:rtl w:val="true"/>
          <w:lang w:val="en-US" w:eastAsia="en-US"/>
        </w:rPr>
        <w:t>מחסנית</w:t>
      </w:r>
      <w:r>
        <w:rPr>
          <w:rFonts w:ascii="Arial" w:hAnsi="Arial" w:eastAsia="Arial" w:cs="Arial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Arial" w:hAnsi="Arial" w:cs="Aharoni"/>
          <w:b/>
          <w:b/>
          <w:bCs/>
          <w:u w:val="single"/>
          <w:rtl w:val="true"/>
          <w:lang w:val="en-US" w:eastAsia="en-US"/>
        </w:rPr>
        <w:t>וכדורים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וגם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רימון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הלם</w:t>
      </w:r>
      <w:r>
        <w:rPr>
          <w:rFonts w:cs="Aharoni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haroni"/>
          <w:rtl w:val="true"/>
          <w:lang w:val="en-US" w:eastAsia="en-US"/>
        </w:rPr>
        <w:t>זה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נכון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שביום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cs="Aharoni" w:ascii="Arial" w:hAnsi="Arial"/>
          <w:lang w:val="en-US" w:eastAsia="en-US"/>
        </w:rPr>
        <w:t>27.9.18</w:t>
      </w:r>
      <w:r>
        <w:rPr>
          <w:rFonts w:cs="Aharoni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כשהגיעו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שוטרים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לבית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לחפש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אני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לקחתי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את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הנשק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וזרקתי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אותו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מחוץ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לחלון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המרפסת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ואת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רימון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ההלם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זרקתי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בסמוך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לשטח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בית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הספר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שנמצא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ליד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הבית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וזה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כדי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שלא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ימצאו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את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הנשק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וישתמשו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כראיה</w:t>
      </w:r>
      <w:r>
        <w:rPr>
          <w:rFonts w:cs="Aharoni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haroni"/>
          <w:lang w:val="en-US" w:eastAsia="en-US"/>
        </w:rPr>
      </w:pPr>
      <w:r>
        <w:rPr>
          <w:rFonts w:cs="Aharoni" w:ascii="Arial" w:hAnsi="Arial"/>
          <w:rtl w:val="true"/>
          <w:lang w:val="en-US" w:eastAsia="en-US"/>
        </w:rPr>
        <w:t>(</w:t>
      </w:r>
      <w:r>
        <w:rPr>
          <w:rFonts w:ascii="Arial" w:hAnsi="Arial" w:cs="Aharoni"/>
          <w:rtl w:val="true"/>
          <w:lang w:val="en-US" w:eastAsia="en-US"/>
        </w:rPr>
        <w:t>הדגשות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אינן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Aharoni"/>
          <w:rtl w:val="true"/>
          <w:lang w:val="en-US" w:eastAsia="en-US"/>
        </w:rPr>
        <w:t>במקור</w:t>
      </w:r>
      <w:r>
        <w:rPr>
          <w:rFonts w:cs="Aharoni" w:ascii="Arial" w:hAnsi="Arial"/>
          <w:rtl w:val="true"/>
          <w:lang w:val="en-US" w:eastAsia="en-US"/>
        </w:rPr>
        <w:t>]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דברי הנאשם אינם משתמעים לשני פנים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לאחר קריאת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טענות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דברי הנאשם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מוצא בית המשפט לדחות נסיון ההגנה לפרש האמור בכתב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לפיו האקדח נתפס ללא תחמושת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שהרי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מעבר לדברי הנאשם המפורשים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הודה הנאשם גם בעבירה לפי </w:t>
      </w:r>
      <w:r>
        <w:rPr>
          <w:rFonts w:ascii="Arial" w:hAnsi="Arial" w:cs="Arial"/>
          <w:u w:val="single"/>
          <w:rtl w:val="true"/>
          <w:lang w:val="en-US" w:eastAsia="en-US"/>
        </w:rPr>
        <w:t>הסיפא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שעניינה החזקת תחמושת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עד כאן בנוגע לפרשנות הקטע שבמחלוקת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אשר לעבירות בהן הורשע הנאשם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מאובטחת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מנעולים</w:t>
      </w:r>
      <w:r>
        <w:rPr>
          <w:rtl w:val="true"/>
        </w:rPr>
        <w:t xml:space="preserve">),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עיוורת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הישוב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מתפקידו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כדין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זאת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ראשוני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  <w:t xml:space="preserve">... </w:t>
      </w:r>
      <w:r>
        <w:rPr>
          <w:rFonts w:cs="Aharoni"/>
          <w:rtl w:val="true"/>
        </w:rPr>
        <w:t>התגלגלותם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ועוינים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Fonts w:cs="Aharoni"/>
          <w:rtl w:val="true"/>
        </w:rPr>
        <w:t>ולאלו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יובילו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ודוק</w:t>
      </w:r>
      <w:r>
        <w:rPr>
          <w:rFonts w:cs="Aharoni"/>
          <w:rtl w:val="true"/>
        </w:rPr>
        <w:t xml:space="preserve">: </w:t>
      </w:r>
      <w:r>
        <w:rPr>
          <w:rFonts w:cs="Aharoni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כדין</w:t>
      </w:r>
      <w:r>
        <w:rPr>
          <w:rFonts w:cs="Aharoni"/>
          <w:rtl w:val="true"/>
        </w:rPr>
        <w:t xml:space="preserve">, </w:t>
      </w:r>
      <w:r>
        <w:rPr>
          <w:rFonts w:cs="Aharoni"/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אינו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מחזיק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בו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למטרת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ביצוען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אחרות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סיכון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שימוש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ופחד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[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חומרת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הסיכון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הנשקף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מחייבת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השתת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וזאת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המדובר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לכאורה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שמנהל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נורמטיבי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לחובתו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הרשעות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הראשונה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זה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דומות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העבריין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haroni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משכבר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Fonts w:cs="Aharoni"/>
          <w:u w:val="single"/>
          <w:rtl w:val="true"/>
        </w:rPr>
        <w:t>ככלל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לאסור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המבצעים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זו</w:t>
      </w:r>
      <w:r>
        <w:rPr>
          <w:rFonts w:cs="Aharoni"/>
          <w:u w:val="single"/>
          <w:rtl w:val="true"/>
        </w:rPr>
        <w:t xml:space="preserve">, </w:t>
      </w:r>
      <w:r>
        <w:rPr>
          <w:rFonts w:cs="Aharoni"/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בעבירה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ראשונה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ובריח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כלול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והמעשה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[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23419-01-17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זניד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 </w:t>
      </w:r>
      <w:r>
        <w:rPr>
          <w:rtl w:val="true"/>
        </w:rPr>
        <w:t>כדורים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Fonts w:cs="Arial" w:ascii="Arial" w:hAnsi="Arial"/>
        </w:rPr>
        <w:t>M-16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המתחמים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שנקבעו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נמוכים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המידה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7544-11-16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אלאסד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22885-05-17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אלאסד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),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בפקולטה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לאדריכלות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32560-12-16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אלסאריעה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כשכלי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בשבתו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לערעורים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דחה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המחוזי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הרכב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כב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הנשיאה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יפה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כץ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חומרת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שמצא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חרף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אינדיקציה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שימוש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בנשק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המערער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צעיר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</w:t>
      </w:r>
      <w:r>
        <w:rPr>
          <w:b/>
          <w:bCs/>
          <w:u w:val="single"/>
          <w:rtl w:val="true"/>
        </w:rPr>
        <w:t xml:space="preserve">) </w:t>
      </w:r>
      <w:r>
        <w:rPr>
          <w:rFonts w:eastAsia="David" w:ascii="David" w:hAnsi="David"/>
          <w:b/>
          <w:bCs/>
          <w:u w:val="single"/>
          <w:rtl w:val="true"/>
        </w:rPr>
        <w:t>–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ואינטרס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השיקום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נדחים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מפני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האינטרס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הציבורי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מסוג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 </w:t>
      </w:r>
      <w:r>
        <w:rPr/>
        <w:t>9.16</w:t>
      </w:r>
      <w:r>
        <w:rPr>
          <w:rtl w:val="true"/>
        </w:rPr>
        <w:t xml:space="preserve"> 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07/08/16</w:t>
      </w:r>
      <w:r>
        <w:rPr>
          <w:rtl w:val="true"/>
        </w:rPr>
        <w:t xml:space="preserve">)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במיגורן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הוצבה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tl w:val="true"/>
        </w:rPr>
        <w:t xml:space="preserve">, </w:t>
      </w:r>
      <w:r>
        <w:rPr>
          <w:rtl w:val="true"/>
        </w:rPr>
        <w:t>הונחתה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;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מזומנות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ההנחיה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/>
        <w:t>563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בכל הנוגע להחזקת נשק קצר מסוג אקדח – בין שנה ועד שנתיים מאסר בפועל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בכל הנוגע להחזקת תחמושת בכמות של קליעים בודדים או עשרות קליעים – עד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חדשי מאסר בפועל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בנוגע להחזקת רימון הלם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בין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חדשי מאסר בפועל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בכל הנוגע לעבירה של שיבוש מהלכי משפט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בין עונש מאסר צופה פני עתיד בצירוף ענישה מוחשית בדמות צו 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צ ועד למספר חודשי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360" w:end="0"/>
        <w:jc w:val="both"/>
        <w:rPr>
          <w:rFonts w:eastAsia="Calibri"/>
          <w:lang w:val="en-US" w:eastAsia="en-US"/>
        </w:rPr>
      </w:pPr>
      <w:r>
        <w:rPr>
          <w:rFonts w:eastAsia="Calibri"/>
          <w:rtl w:val="true"/>
        </w:rPr>
        <w:t>מתחמים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נפסקו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לאחרונה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במספר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גזרי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שניתנו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דומות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hyperlink r:id="rId24">
        <w:r>
          <w:rPr>
            <w:rStyle w:val="Hyperlink"/>
            <w:rFonts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.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eastAsia="Calibri"/>
            <w:color w:val="0000FF"/>
            <w:u w:val="single"/>
          </w:rPr>
          <w:t>30406-04-16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אבו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עאמר</w:t>
      </w:r>
      <w:r>
        <w:rPr>
          <w:rFonts w:eastAsia="Calibri"/>
          <w:b/>
          <w:bCs/>
          <w:rtl w:val="true"/>
        </w:rPr>
        <w:t xml:space="preserve">; </w:t>
      </w:r>
      <w:hyperlink r:id="rId25">
        <w:r>
          <w:rPr>
            <w:rStyle w:val="Hyperlink"/>
            <w:rFonts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.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eastAsia="Calibri"/>
            <w:color w:val="0000FF"/>
            <w:u w:val="single"/>
          </w:rPr>
          <w:t>65912-01-18</w:t>
        </w:r>
      </w:hyperlink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אבו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מדעם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ואח</w:t>
      </w:r>
      <w:r>
        <w:rPr>
          <w:rFonts w:eastAsia="Calibri"/>
          <w:b/>
          <w:bCs/>
          <w:rtl w:val="true"/>
        </w:rPr>
        <w:t>'</w:t>
      </w:r>
      <w:r>
        <w:rPr>
          <w:rFonts w:eastAsia="Calibri"/>
          <w:rtl w:val="true"/>
        </w:rPr>
        <w:t xml:space="preserve">; </w:t>
      </w:r>
      <w:hyperlink r:id="rId26">
        <w:r>
          <w:rPr>
            <w:rStyle w:val="Hyperlink"/>
            <w:rFonts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.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eastAsia="Calibri"/>
            <w:color w:val="0000FF"/>
            <w:u w:val="single"/>
          </w:rPr>
          <w:t>11098-06-18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אלקורעאן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גזרי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פורסמו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במאגרים</w:t>
      </w:r>
      <w:r>
        <w:rPr>
          <w:rFonts w:eastAsia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eastAsia="Calibri" w:cs="Arial"/>
          <w:lang w:val="en-US" w:eastAsia="en-US"/>
        </w:rPr>
      </w:pPr>
      <w:r>
        <w:rPr>
          <w:rFonts w:eastAsia="Calibri"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מתחם הענישה הכולל בתיק זה ינוע בין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ועד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חדשי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אשר לקביעת הענישה הספציפית במסגרת המתחם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הנאשם החזיק כלי נשק שונים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אקדח ורימון הלם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בצירוף תחמושת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בביתו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נגישים ומוכנים לשימוש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כלי הנשק נשמרו על ידו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בעבור מי אחר –אינה מעלה ואף מורידה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אין צורך להכביר מילים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סכנת הפגיעה באזרחים חפים מפשע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כתוצאה משימוש בכלי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וסכנה זו אינה משתנה לפי הדרך בה הושגו כלי הנשק או בהתאם לסיבה בגינה הוחזקו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עוד יודגש פוטנציאל הסכנה במעשיו של הנאשם לשיבוש מהלכי המשפט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זריקת כלי הנשק מחלון ביתו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רימון ההלם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נחת בסמוך לבית ספר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בו מצויים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באותה העת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ילדים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דבר אשר עלול היה להביא לפגיעה ממשית בתלמידים או בעוברי אורח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לא עוול בכפם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העדר נטילת אחריות מלאה ותפישותיו המקלות של הנאשם בייחס לעבירות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מהווים נתון המצביע לכיוון החמרה מסוימת במסגרת מתחם הענישה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אם יימנע בית המשפט מלהחמיר עם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יהיה זה בשל הנימוקים הבאים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הודה בעבירות וחסך זמן שיפוטי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 הוצגו ראיות או אינדיקציות על כוונה לשימוש שלילי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פלילי או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בנשק שנתפס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לא נתפס מסתבך עם החוק עד למעצרו בגין עבירה זו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ייקח בית המשפט בחשבון התקופה בה שהה הנאשם במעצר וכן במעצר בפיקוח אלקטרוני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איזון השיקולים השונים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מצביע לכיוון ענישה על הצד הנמוך של מתחם הענישה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אשר להמלצותיו העונשית של שירות המבחן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במקרה דנן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מוצא בית המשפט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אינן עומדות כלל במסגרת מתחם הענישה הנוהג בדין ואף אינן תואמות האינטרס הציבורי והצורך להבטיח את חייהם ואת שלומם של הציבור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יתר 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ההמלצות הסופיות בתסקיר  אף אינן עולות בקנה אחד עם ממצאי התסקיר עצמו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בייחוד כאשר הנאשם נמצא כמי שמתקשה ליטול אחריות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שאינו מפנים הפסול הערכי במעשיו ואף אינו בשל להליך טיפולי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החזיק במגוון של נשק ותחמושת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שירות המבחן מצא לציין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ניכר שהנאשם מסתיר מידע הקשור לנסיבות מעורבותו בעבירות בהן הודה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בנסיבות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כל עילה לחרוג ממתחם הענישה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בהתאם לפסיקה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ולאור כך שהמדובר בהחזקת כלי נשק בעלי שווי כלכלי לא מבוטל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יושת גם עיצום כספי משמעותי מסוג קנס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משלא הובררו עד תום מניעי הנאשם להחזקת כלי הנשק – מוצא בית המשפט גם להשית מאסר מותנה מרתיע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בית המשפט דן את הנאשם לעונשים כדלקמן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בניכוי ימי מעצרו הממשי בתיק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ככל שקיימים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בהתאם לרישומי 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מאסר על תנאי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שחרורו של הנאשם  ממאסרו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שהנאשם לא יעבור עבירה בניגוד ל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פרק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'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סימן א</w:t>
      </w:r>
      <w:r>
        <w:rPr>
          <w:rFonts w:cs="Arial" w:ascii="Arial" w:hAnsi="Arial"/>
          <w:rtl w:val="true"/>
          <w:lang w:val="en-US" w:eastAsia="en-US"/>
        </w:rPr>
        <w:t xml:space="preserve">', </w:t>
      </w:r>
      <w:r>
        <w:rPr>
          <w:rFonts w:ascii="Arial" w:hAnsi="Arial" w:cs="Arial"/>
          <w:rtl w:val="true"/>
          <w:lang w:val="en-US" w:eastAsia="en-US"/>
        </w:rPr>
        <w:t xml:space="preserve">למעט עבירה בניגוד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לאותו 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חדשי מאסר על תנאי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שחרורו של הנאשם ממאסרו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שהנאשם לא יעבור עבירה בניגוד 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סיפא או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186</w:t>
        </w:r>
      </w:hyperlink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lang w:val="en-US" w:eastAsia="en-US"/>
        </w:rPr>
        <w:t>10,000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90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 מאסר תמורתו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הקנס ישולם עד ליום </w:t>
      </w:r>
      <w:r>
        <w:rPr>
          <w:rFonts w:cs="Arial" w:ascii="Arial" w:hAnsi="Arial"/>
          <w:lang w:val="en-US" w:eastAsia="en-US"/>
        </w:rPr>
        <w:t>30.06.2019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יתייצב לריצוי עונשו כעת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ככל שלא תוגש בקשה אחרת מטעם מי מהצדדים בתוך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יחולטו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ascii="Arial" w:hAnsi="Arial" w:cs="Arial"/>
          <w:rtl w:val="true"/>
          <w:lang w:val="en-US" w:eastAsia="en-US"/>
        </w:rPr>
        <w:t>יושמדו המוצגים בתיק החקירה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כלי הנשק נושא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שיקול דעת המאשימה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עותק גזר הדין יועבר לשירות המבחן למבוגרים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rtl w:val="true"/>
          <w:lang w:val="en-US" w:eastAsia="en-US"/>
        </w:rPr>
        <w:t>הודעה זכות הערעור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אדר 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מרץ </w:t>
      </w:r>
      <w:r>
        <w:rPr>
          <w:rFonts w:cs="Arial" w:ascii="Arial" w:hAnsi="Arial"/>
          <w:lang w:val="en-US" w:eastAsia="en-US"/>
        </w:rPr>
        <w:t>2019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cs="Arial" w:ascii="Arial" w:hAnsi="Arial"/>
          <w:rtl w:val="true"/>
          <w:lang w:val="en-US" w:eastAsia="en-US"/>
        </w:rPr>
        <w:t xml:space="preserve">        </w:t>
      </w:r>
    </w:p>
    <w:p>
      <w:pPr>
        <w:pStyle w:val="Normal"/>
        <w:spacing w:lineRule="auto" w:line="360"/>
        <w:ind w:firstLine="720" w:start="3600" w:end="0"/>
        <w:jc w:val="center"/>
        <w:rPr>
          <w:rFonts w:cs="Times New Roman"/>
        </w:rPr>
      </w:pPr>
      <w:r>
        <w:rPr>
          <w:rFonts w:cs="Times New Roman"/>
          <w:rtl w:val="true"/>
        </w:rPr>
        <w:t xml:space="preserve">    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9569-10-18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עודאי בן סלימאן אלקדירי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02277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hCaS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case/16913730" TargetMode="External"/><Relationship Id="rId14" Type="http://schemas.openxmlformats.org/officeDocument/2006/relationships/hyperlink" Target="http://www.nevo.co.il/case/7791493" TargetMode="External"/><Relationship Id="rId15" Type="http://schemas.openxmlformats.org/officeDocument/2006/relationships/hyperlink" Target="http://www.nevo.co.il/case/5852404" TargetMode="External"/><Relationship Id="rId16" Type="http://schemas.openxmlformats.org/officeDocument/2006/relationships/hyperlink" Target="http://www.nevo.co.il/case/6000182" TargetMode="External"/><Relationship Id="rId17" Type="http://schemas.openxmlformats.org/officeDocument/2006/relationships/hyperlink" Target="http://www.nevo.co.il/case/22112345" TargetMode="External"/><Relationship Id="rId18" Type="http://schemas.openxmlformats.org/officeDocument/2006/relationships/hyperlink" Target="http://www.nevo.co.il/case/22001830" TargetMode="External"/><Relationship Id="rId19" Type="http://schemas.openxmlformats.org/officeDocument/2006/relationships/hyperlink" Target="http://www.nevo.co.il/case/22607175" TargetMode="External"/><Relationship Id="rId20" Type="http://schemas.openxmlformats.org/officeDocument/2006/relationships/hyperlink" Target="http://www.nevo.co.il/case/7791493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1778276" TargetMode="External"/><Relationship Id="rId24" Type="http://schemas.openxmlformats.org/officeDocument/2006/relationships/hyperlink" Target="http://www.nevo.co.il/case/21303448" TargetMode="External"/><Relationship Id="rId25" Type="http://schemas.openxmlformats.org/officeDocument/2006/relationships/hyperlink" Target="http://www.nevo.co.il/case/23588441" TargetMode="External"/><Relationship Id="rId26" Type="http://schemas.openxmlformats.org/officeDocument/2006/relationships/hyperlink" Target="http://www.nevo.co.il/case/2427871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hCaS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0301/186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2020-09-07T12:43:00Z</dcterms:created>
  <dc:creator> </dc:creator>
  <dc:description/>
  <cp:keywords/>
  <dc:language>en-IL</dc:language>
  <cp:lastModifiedBy>yafit</cp:lastModifiedBy>
  <dcterms:modified xsi:type="dcterms:W3CDTF">2020-09-07T12:43:00Z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עודאי בן סלימאן אלקדירי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25022775;16913730;7791493:2;5852404;6000182;22112345;22001830;22607175;21778276;21303448;23588441;24278714</vt:lpwstr>
  </property>
  <property fmtid="{D5CDD505-2E9C-101B-9397-08002B2CF9AE}" pid="9" name="CITY">
    <vt:lpwstr>ב"ש</vt:lpwstr>
  </property>
  <property fmtid="{D5CDD505-2E9C-101B-9397-08002B2CF9AE}" pid="10" name="DATE">
    <vt:lpwstr>20190312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70301/144.a:4;144.b;186;244;hCaS</vt:lpwstr>
  </property>
  <property fmtid="{D5CDD505-2E9C-101B-9397-08002B2CF9AE}" pid="15" name="LAWYER">
    <vt:lpwstr>מירי קלסון;אוהד סלמי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9569</vt:lpwstr>
  </property>
  <property fmtid="{D5CDD505-2E9C-101B-9397-08002B2CF9AE}" pid="22" name="NEWPARTB">
    <vt:lpwstr>10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380020190312</vt:lpwstr>
  </property>
  <property fmtid="{D5CDD505-2E9C-101B-9397-08002B2CF9AE}" pid="34" name="TYPE_N_DATE">
    <vt:lpwstr>38020190312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