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בקריות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9687-03-16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פראג</w:t>
            </w:r>
            <w:r>
              <w:rPr>
                <w:rFonts w:cs="FrankRuehl"/>
                <w:sz w:val="28"/>
                <w:szCs w:val="28"/>
                <w:rtl w:val="true"/>
              </w:rPr>
              <w:t>'(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206"/>
        <w:gridCol w:w="366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0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  <w:tc>
          <w:tcPr>
            <w:tcW w:w="366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0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0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פראג</w:t>
            </w:r>
            <w:r>
              <w:rPr>
                <w:b/>
                <w:bCs/>
                <w:rtl w:val="true"/>
              </w:rPr>
              <w:t>' 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הרוש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עשור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0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'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לפרק 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מהלך הדיון והסכמות הצדדים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הנאשמים הודו והורשעו בכתב אישום מתוקן במסגרת הסדר טיעון בעבירות כלהלן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של החזקת נשק לפי סעיף </w:t>
      </w:r>
      <w:hyperlink r:id="rId17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8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בשילוב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והפרעה לשוטר בשעת מילוי תפקידו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של סיוע להחזקת נשק לפי סעיף </w:t>
      </w:r>
      <w:hyperlink r:id="rId22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בשילוב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והפרעה לשוטר בשעת מילוי תפקידו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של סיוע להחזקת נשק לפי סעיף </w:t>
      </w:r>
      <w:hyperlink r:id="rId27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8">
        <w:r>
          <w:rPr>
            <w:rStyle w:val="Hyperlink"/>
            <w:rFonts w:cs="David" w:ascii="Arial" w:hAnsi="Arial"/>
            <w:rtl w:val="true"/>
          </w:rPr>
          <w:t>(</w:t>
        </w:r>
        <w:r>
          <w:rPr>
            <w:rStyle w:val="Hyperlink"/>
            <w:rFonts w:ascii="Arial" w:hAnsi="Arial"/>
            <w:rtl w:val="true"/>
          </w:rPr>
          <w:t>ג</w:t>
        </w:r>
        <w:r>
          <w:rPr>
            <w:rStyle w:val="Hyperlink"/>
            <w:rFonts w:cs="David" w:ascii="Arial" w:hAnsi="Arial"/>
            <w:rtl w:val="true"/>
          </w:rPr>
          <w:t>)(</w:t>
        </w:r>
        <w:r>
          <w:rPr>
            <w:rStyle w:val="Hyperlink"/>
            <w:rFonts w:cs="David" w:ascii="Arial" w:hAnsi="Arial"/>
          </w:rPr>
          <w:t>1</w:t>
        </w:r>
        <w:r>
          <w:rPr>
            <w:rStyle w:val="Hyperlink"/>
            <w:rFonts w:cs="David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בשילוב </w:t>
      </w:r>
      <w:hyperlink r:id="rId29">
        <w:r>
          <w:rPr>
            <w:rStyle w:val="Hyperlink"/>
            <w:rFonts w:ascii="Arial" w:hAnsi="Arial"/>
            <w:rtl w:val="true"/>
          </w:rPr>
          <w:t>סעיף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הפרעה לשוטר בשעת מילוי תפקידו לפי </w:t>
      </w:r>
      <w:hyperlink r:id="rId31">
        <w:r>
          <w:rPr>
            <w:rStyle w:val="Hyperlink"/>
            <w:rFonts w:ascii="Arial" w:hAnsi="Arial"/>
            <w:rtl w:val="true"/>
          </w:rPr>
          <w:t>סעיף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ותקיפת שוטר לפי </w:t>
      </w:r>
      <w:hyperlink r:id="rId32">
        <w:r>
          <w:rPr>
            <w:rStyle w:val="Hyperlink"/>
            <w:rFonts w:ascii="Arial" w:hAnsi="Arial"/>
            <w:rtl w:val="true"/>
          </w:rPr>
          <w:t>סעיף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273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כתב האישום צוין כי בין הנאשמים קיימת היכרות מוקדמת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עובר למועד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רכב מסוג טויוטה קורולה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רכב הטויוטה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21.2.2016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16.30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הנאשמים ברכב הטויוטה אל סמוך לצומת היישוב חורשים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נוהג ברכב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מחזיק בתוך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בסיועם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חצי אוטומטי מסוג </w:t>
      </w:r>
      <w:r>
        <w:rPr>
          <w:rFonts w:cs="Arial" w:ascii="Arial" w:hAnsi="Arial"/>
        </w:rPr>
        <w:t>Smith &amp; Wesson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שהוא  נשק כהגדרתו בחוק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בהגיעם לכביש הגישה לישוב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עצר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ירדו מהרכב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פירק את דופן הדלת השמאלית האחורית של הרכב באמצעות מברגה על מנת לסייע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להסליק את הנשק ולמנוע את תפיסתו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זמן נסעו ירון בן ישי ואלי קופלר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שניהם ביחד יקראו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השוטרים</w:t>
      </w:r>
      <w:r>
        <w:rPr>
          <w:rFonts w:ascii="Arial" w:hAnsi="Arial" w:cs="Arial"/>
          <w:rtl w:val="true"/>
        </w:rPr>
        <w:t xml:space="preserve"> וכל אחד מהם בנפרד </w:t>
      </w:r>
      <w:r>
        <w:rPr>
          <w:rFonts w:ascii="Arial" w:hAnsi="Arial" w:cs="Arial"/>
          <w:b/>
          <w:b/>
          <w:bCs/>
          <w:rtl w:val="true"/>
        </w:rPr>
        <w:t>ירון</w:t>
      </w:r>
      <w:r>
        <w:rPr>
          <w:rFonts w:ascii="Arial" w:hAnsi="Arial" w:cs="Arial"/>
          <w:rtl w:val="true"/>
        </w:rPr>
        <w:t xml:space="preserve"> או </w:t>
      </w:r>
      <w:r>
        <w:rPr>
          <w:rFonts w:ascii="Arial" w:hAnsi="Arial" w:cs="Arial"/>
          <w:b/>
          <w:b/>
          <w:bCs/>
          <w:rtl w:val="true"/>
        </w:rPr>
        <w:t>השוטר ירון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קופלר</w:t>
      </w:r>
      <w:r>
        <w:rPr>
          <w:rFonts w:ascii="Arial" w:hAnsi="Arial" w:cs="Arial"/>
          <w:rtl w:val="true"/>
        </w:rPr>
        <w:t xml:space="preserve"> או </w:t>
      </w:r>
      <w:r>
        <w:rPr>
          <w:rFonts w:ascii="Arial" w:hAnsi="Arial" w:cs="Arial"/>
          <w:b/>
          <w:b/>
          <w:bCs/>
          <w:rtl w:val="true"/>
        </w:rPr>
        <w:t xml:space="preserve">השוטר קופלר –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קציני משטרה ביחידת גבול לבנון של 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צפון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 משטרתי בכביש הגישה ליישוב חורשים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בהגיעם מעט לפני צומת חורשים הבחינו השוטרים בנאשמים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 המשיכו בנסיעה וכעבור זמן קצר חזרו על עקבותיהם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הבחינו ברכב הטויוטה חונה על הכביש כאשר מנוע הרכב מונע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נמצאים בסמוך אליו 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יושב במושב הנהג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משהתעורר חשדם של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עצרו את הרכב המשטרתי בסמוך לרכב הטויוטה ויצאו ממנו תוך שהם מזדהים כשוטרים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קופלר ביקש מנאשם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לדומם את מנוע רכב הטויוטה ולצאת ממנו ובהמשך לכך ביקשו השוטרים מהנאשמים להזדהות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שהנאשמים הזדהו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ערכו השוטרים חיפוש על גופם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ערך השוטר קופלר סריקה בשטח הסמוך למקום בו חנה רכב הטויוטה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זה לחש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דבר מה באוזנו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 ללכת לכוון צומת חורשים ולהתרחק מרכב הטויוטה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ירון דרש מנאשם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לחזור אך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המשיך להתרחק בתואנה שהוא רוצה להטיל את מימיו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העת השוטר ירון הולך אחריו ודורש ממנו לחזור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זאת עשה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בכוונה להסיח את דעתו של השוטר ירון ולהפריע לו כשהוא ממלא תפקידו כחוק או להכשילו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המתואר ניגש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במהרה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לידיו את הנשק ופתח בריצה מהירה לכוון חורשים כשהוא אוחז בנשק ביד כדי להימלט מהמקום ולמנוע את תפיסת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משהבחינו השוטרים במעשיו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השוטר קופלר לרוץ אחריו בעוד השוטר ירון נותר עם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בסמוך לרכב הטויוטה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המרדף רץ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לכיוון מדרון מיוער וסבוך כשכל העת קופלר ממשיך לרוץ אחריו ולצעוק לעברו שיעצור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שעה להתראות השוטר קופלר והמשיך להימלט במורד המדרון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המרדף במדרון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השיג השוטר קופלר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בו וניסה להוציא את הנשק מידו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כשמנגד כל העת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מתנגד ומנסה למנוע את הוצאת הנשק מידו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קופלר קרא לעזרתו של ירון ובהמשך הצליח להוציא את הנשק מידו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מנע ממנו להימלט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אזק את 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כשכל העת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מתנגד למעצר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המרדף והמאבק שהתפתח בין קופלר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שמעו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קריאותיו של קופלר לעזרה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בעודם עומדים באותו עת בסמוך לרכב הטויוטה ביחד עם השוטר ירון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התקדמו לעבר ירון כשהם מניפים את ידיהם וצועקים לעברו באופן מאיים כדי למנוע ממנו מלהגיע לקופלר ולסייע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 ירון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דרש מנאשמים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לסגת לאחור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שהבחין כי הם לא נענים לדרישותיו ומשחש מאוים ירה השוטר ירון ירייה אחת באוויר לשם אזהרה ואז נסוגו השניים לאחור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זה אמר נאשם 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שייגש לסייע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רץ לכיוון המדרון על מנת לסייע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במאבקו עם קופלר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בהגיעו למקום בו היו קופלר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ולאחר שקופלר כבר הספיק לאזוק את הנאשם כפי שצוין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אמר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לקופלר שירון הורה לשחרר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לכך נאשם 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אחז בזרועותיו של קופלר בחוזקה וניער אותו כשכל העת הוא צועק לעברו ומנסה להרחיקו מנאשם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זה החל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לברוח וקולר מידו ניסה להשתחרר מאחיזתו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ודרש ממנו להרפות מזרועותיו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שעה להוראותיו של קופלר ובתגובה דחף אותו קופלר בחוזקה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השתחרר מידיו ותפס שוב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התקרב לקופלר באופן מאיים ולחש דבר מה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בתגובה הזהיר קופלר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שאם לא יחדל מהתנהגותו הוא יעשה שימוש בנשקו האישי 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חדל ממעשיו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רץ לכיוון המדרון על מנת לסייע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 שחלף במקרה במקום וניסה להימלט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משהבחין ירון במעשה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הורה לנהג הרכב לעצור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מן הרכב ונתפס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בכתב האישום צוין כי כתוצאה ממעשי המשיבים נגרמו לשוטרים חבלות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לשוטר ירון נגרמו שריטות 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שריטות בקדמת השוקיים ושפשוף קל בסנטר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לשוטר קופלר נגרמו שתי שריטות גדולות בלחי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שריטות קטנות במצח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בשפתיים ובאף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שריטות מרובות באמות ובכפות הידיים וסימן חבלה בברך ימין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/>
      </w:pP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הנאשמים בעובדות 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לעניין העונש הוסכם כי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 xml:space="preserve">",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David" w:hAnsi="David" w:eastAsia="David" w:cs="David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ascii="David" w:hAnsi="David" w:eastAsia="David"/>
          <w:rtl w:val="true"/>
        </w:rPr>
        <w:t>שקלול הערכים המוגנים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נסיבות הקשורות בביצוע העבירה </w:t>
      </w:r>
      <w:r>
        <w:rPr>
          <w:rFonts w:ascii="David" w:hAnsi="David" w:eastAsia="David"/>
          <w:rtl w:val="true"/>
        </w:rPr>
        <w:t>–</w:t>
      </w:r>
      <w:r>
        <w:rPr>
          <w:rFonts w:ascii="David" w:hAnsi="David" w:eastAsia="David"/>
          <w:rtl w:val="true"/>
        </w:rPr>
        <w:t xml:space="preserve"> שכללו בין היתר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הנזק הפוטנציאלי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בריחת הנאשם מהשוטרים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העובדה שלא נתפסה מחסנית ולא נעשה שימוש בנשק במהלך ביצוע העבירות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מדיניות הענישה הנוהגת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והצורך בהרתעת הרבים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ובנוסף </w:t>
      </w:r>
      <w:r>
        <w:rPr>
          <w:rFonts w:ascii="David" w:hAnsi="David" w:eastAsia="David"/>
          <w:rtl w:val="true"/>
        </w:rPr>
        <w:t>–</w:t>
      </w:r>
      <w:r>
        <w:rPr>
          <w:rFonts w:ascii="David" w:hAnsi="David" w:eastAsia="David"/>
          <w:rtl w:val="true"/>
        </w:rPr>
        <w:t xml:space="preserve"> נתוניו האישיים של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לרבות עברו הלא מכביד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באשר לנאשמים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טענה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כי תיקון כתב האישום נעשה משיקולים ראייתיים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לעניין מתחם העונש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לערכים המוגנים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לנסיבות ביצוע העבירות כפי שעולות מכתב האישום המתוקן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ולסיכון המגולם בהחזקת 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נטען עוד כי התנהלות 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מלמדת על נחישות ועל העדר מורא מפני החוק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לטענת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מדיניות הענישה בעבירות בהן הורשעו הנאשמים היא מחמירה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טענה כי חלקו של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 xml:space="preserve">בניסיון להסתרת הנשק הוא גבוה יותר מנאשם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שישב במושב הנהג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והפנתה לעבירת תקיפת שוטר בה הורשע בנוסף 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המאשימה אינה חולקת על כך שיש לקבוע מתחם אחד למכלול העבירות המפורטות בכתב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ולאור הנתונים עליהם הצביעה נטען כי מתחם העונש ההולם לנאשמים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כולל מאסר בפועל שנע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בנוסף לרכיבי ענישה נוספים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הדגישה כי ההסכמה לעונש לגבי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התחשבה הן במתחם והן בנתוני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אשר לולא ההסדר היו מחייבים הטלת עונש קרוב לרף הנמוך במתחם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ועל כן אין לעשות גזירה שווה לנאשמים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טענה כי לנאשמים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עבר מכביר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גיליונות ההרשעות הקודמות של הנאשמים הוגשו וסומנו </w:t>
      </w:r>
      <w:r>
        <w:rPr>
          <w:rFonts w:ascii="David" w:hAnsi="David" w:eastAsia="David"/>
          <w:rtl w:val="true"/>
        </w:rPr>
        <w:t>–</w:t>
      </w:r>
      <w:r>
        <w:rPr>
          <w:rFonts w:ascii="David" w:hAnsi="David" w:eastAsia="David"/>
          <w:rtl w:val="true"/>
        </w:rPr>
        <w:t xml:space="preserve"> 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לסיכום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המאשימה להטיל על 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מאסר בפועל בתוך המתחם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וכן להפעיל במצטבר תנאי בן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על כל אחד מהנאשמים וכן מאסר על תנאי ממושך וקנס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לעניין המאסרים על תנאי אדרש בהרחבה בפרק המתאים בהמשך גזר הדין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יצוין כי המאשימה הפנתה לפסיקה והגישה טבלת פסיקה מסכמת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נאשמים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טען לעונש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לגבי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צוין כי הוא בן למשפחה נורמטיבית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סיים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לימוד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גויס לגדנ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היה בגרעין נח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ל וזו הפעם הראשונה בחייו שנענש באופן משמעותי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נתבקש בית המשפט לקבל את ההסדר בעניינו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לגבי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ביקש הסנגור להטיל  עונש שישקף את העובדה שהוא הורשע בעבירת סיוע להחזקת נשק שהעונש בגינה הוא מחצית העונש הקבוע לעבירה המושלמת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נטען כי נהוג להטיל על עבירת סיוע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מחצית העונש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מבלי להתעלם מפסיקת בית המשפט העליון לפיה יש להתחשב במכלול הנסיבות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הסנגור חלק על מתחם העונש שהוצע על ידי המאשימה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לשיטתו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העבירה העיקרית היא עבירת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ויישום נכון של עקרונות הענישה שעמדו בבסיס העונש שהוטל על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אין בהם לדידו לתמוך בעמדתה העונשית של המאשימה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לעמדת הסנגור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יישום נכון של שיקולי הענישה מחייב הטלת עונש שאינו עולה על ששה 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לעניין הנסיבות האישיות צוין שנאשם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נשוי ואב לילד בן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שמקיים עמו קשר רצוף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הנאשמים התייחס לפסיקה אליה הפנתה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וביקש לאבחנה מהמקרה הנדון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טען לעונש והפנה לתיקון המשמעותי לדידו שנערך בכתב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ידי המרת עבירת החזקת הנשק לעבירת סיוע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הסנגור ביקש להתחשב בהודאת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שניתנה עוד בטרם מתן החלטה בבקשת המעצר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ובחסכון בזמן שיפוטי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לשיטת הסנגור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העובדה שנטען כי מתחם העונש לגבי 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נע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מגלם בתוכו הסכמה שהעונש שיוטל על 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הוא כמחצית העונש שהוטל על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לעניין הנסיבות שאינן קשורות בביצוע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נטען כי הנאשם הוא אב לילד קטין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שהקשר עמו היה רופף אך התחזק בתקופה האחרונה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 בתקופה עובר למעצרו הוא החל בטיפולי פוריות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לטענת הסנגור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הוא בן למשפחה מכובדת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אמו אשת 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אביו נפצע במערכות ישראל וסובל מפוסט טראומה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הסנגור הפנה לכך שלנאשם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אין הרשעות בעבירות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וכי לדבריו הוא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מאס בחיים אלה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מאס בעולם הזה</w:t>
      </w:r>
      <w:r>
        <w:rPr>
          <w:rFonts w:eastAsia="David" w:cs="David" w:ascii="David" w:hAnsi="David"/>
          <w:rtl w:val="true"/>
        </w:rPr>
        <w:t xml:space="preserve">". </w:t>
      </w:r>
      <w:r>
        <w:rPr>
          <w:rFonts w:ascii="David" w:hAnsi="David" w:eastAsia="David"/>
          <w:rtl w:val="true"/>
        </w:rPr>
        <w:t>לבסוף טען הסנגור כי העבירה של תקיפת שוטר נמצאת ברף חומרה נמוך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 הסנגור להטיל עונש שאינו עולה על הרף התחתון לו טענה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ולהפעיל את התנאי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חלקו בחופף וחלקו במצטבר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254" w:before="0" w:after="160"/>
        <w:ind w:start="-58" w:end="0"/>
        <w:contextualSpacing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מלאכת גזירת הדין נעשית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 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 שלבים עיקריים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קביעתו של מתחם העונש ההולם ולאחר מכן גזירת העונש בגדרי מתחם העונש </w:t>
      </w:r>
      <w:r>
        <w:rPr>
          <w:rFonts w:cs="Calibri" w:ascii="Calibri" w:hAnsi="Calibri"/>
          <w:rtl w:val="true"/>
        </w:rPr>
        <w:t>(</w:t>
      </w:r>
      <w:hyperlink r:id="rId33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ג</w:t>
        </w:r>
        <w:r>
          <w:rPr>
            <w:rStyle w:val="Hyperlink"/>
            <w:rFonts w:cs="David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כשבתוך כך יש לבחון האם קיימים שיקולים אשר מצדיקים סטייה מן 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קביעת מתחם העונש ההולם למעשה העבירה שביצע הנאשם נעשית בהתאם לעיקרון המנחה 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 קיומו של יחס הולם בין חומרת מעשה העבירה בנסיבותיו ומידת אשמו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 קביעת 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לעיקרון 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להתחשב בערך החברתי 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הנוהגת ובנסיבות הקשורות בביצוע 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אין מחלוקת בין הצדדים שיש לראות במכלול האירועים בכתב האישום אירוע אחד במובן </w:t>
      </w:r>
      <w:hyperlink r:id="rId35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יג</w:t>
        </w:r>
        <w:r>
          <w:rPr>
            <w:rStyle w:val="Hyperlink"/>
            <w:rFonts w:cs="David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ובדין נקטה המאשימה עמדה 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משמעות הדבר שיש לקבוע מתחם עונש אחד לכל העבירות בהן הורשעו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יש לערוך אבחנה בין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נאשמים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לגבי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 הסדר טיעון שכולל עונש מוסכם ועל כן לא ארחיב 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כי מטבע הדברים השיקולים רלוונטיים לכלל 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2"/>
        </w:numPr>
        <w:overflowPunct w:val="false"/>
        <w:autoSpaceDE w:val="false"/>
        <w:spacing w:lineRule="auto" w:line="360" w:before="0" w:after="160"/>
        <w:ind w:hanging="567" w:start="567" w:end="0"/>
        <w:contextualSpacing/>
        <w:jc w:val="both"/>
        <w:rPr>
          <w:rStyle w:val="Strong"/>
          <w:b w:val="false"/>
          <w:bCs w:val="false"/>
        </w:rPr>
      </w:pPr>
      <w:r>
        <w:rPr>
          <w:rFonts w:ascii="Arial" w:hAnsi="Arial" w:cs="Arial"/>
          <w:rtl w:val="true"/>
        </w:rPr>
        <w:t>כתב האישום כולל שתי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עבירת נשק וכן עבירה של הפרעה לשוטר במילוי תפקידו ולנאשם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בנוסף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של תקיפת שוטר</w:t>
      </w:r>
      <w:r>
        <w:rPr>
          <w:rFonts w:cs="Arial" w:ascii="Arial" w:hAnsi="Arial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 העבירות כלפי 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עבירת ההפרעה </w:t>
      </w:r>
      <w:r>
        <w:rPr>
          <w:rStyle w:val="Strong"/>
          <w:b w:val="false"/>
          <w:b w:val="false"/>
          <w:bCs w:val="false"/>
          <w:rtl w:val="true"/>
        </w:rPr>
        <w:t>לשוטר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במילוי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תפקידו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נועדה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להבטיח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את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תפקודם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המיטבי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של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אנשי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המשטרה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ולמנוע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הפרעה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לפעילותם</w:t>
      </w:r>
      <w:r>
        <w:rPr>
          <w:rStyle w:val="Strong"/>
          <w:b w:val="false"/>
          <w:bCs w:val="false"/>
          <w:rtl w:val="true"/>
        </w:rPr>
        <w:t xml:space="preserve">. </w:t>
      </w:r>
      <w:r>
        <w:rPr>
          <w:rStyle w:val="Strong"/>
          <w:b w:val="false"/>
          <w:b w:val="false"/>
          <w:bCs w:val="false"/>
          <w:rtl w:val="true"/>
        </w:rPr>
        <w:t>אשר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לעבירת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תקיפת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שוטר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rtl w:val="true"/>
        </w:rPr>
        <w:t>הרי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מעבר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לחומרה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הגלומה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בעבירת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תקיפה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rtl w:val="true"/>
        </w:rPr>
        <w:t>תקיפת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שוטר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בעת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מילוי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תפקידו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מתאפיינת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בחומרה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נוספת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Cs w:val="false"/>
          <w:rtl w:val="true"/>
        </w:rPr>
        <w:t>(</w:t>
      </w:r>
      <w:hyperlink r:id="rId37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u w:val="single"/>
          </w:rPr>
          <w:t>5214/13</w:t>
        </w:r>
      </w:hyperlink>
      <w:r>
        <w:rPr>
          <w:rStyle w:val="Strong"/>
          <w:b w:val="false"/>
          <w:bCs w:val="false"/>
          <w:rtl w:val="true"/>
        </w:rPr>
        <w:t xml:space="preserve"> </w:t>
      </w:r>
      <w:r>
        <w:rPr>
          <w:rStyle w:val="Strong"/>
          <w:rtl w:val="true"/>
        </w:rPr>
        <w:t>ס</w:t>
      </w:r>
      <w:r>
        <w:rPr>
          <w:rStyle w:val="Strong"/>
          <w:rtl w:val="true"/>
        </w:rPr>
        <w:t>ירחאן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נ</w:t>
      </w:r>
      <w:r>
        <w:rPr>
          <w:rStyle w:val="Strong"/>
          <w:rtl w:val="true"/>
        </w:rPr>
        <w:t xml:space="preserve">' </w:t>
      </w:r>
      <w:r>
        <w:rPr>
          <w:rStyle w:val="Strong"/>
          <w:rtl w:val="true"/>
        </w:rPr>
        <w:t>מדינת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ישראל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Cs w:val="false"/>
          <w:rtl w:val="true"/>
        </w:rPr>
        <w:t>(</w:t>
      </w:r>
      <w:r>
        <w:rPr>
          <w:rStyle w:val="Strong"/>
          <w:b w:val="false"/>
          <w:b w:val="false"/>
          <w:bCs w:val="false"/>
          <w:rtl w:val="true"/>
        </w:rPr>
        <w:t>פורסם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בנבו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Cs w:val="false"/>
        </w:rPr>
        <w:t>30.12.2013</w:t>
      </w:r>
      <w:r>
        <w:rPr>
          <w:rStyle w:val="Strong"/>
          <w:b w:val="false"/>
          <w:bCs w:val="false"/>
          <w:rtl w:val="true"/>
        </w:rPr>
        <w:t xml:space="preserve">)). </w:t>
      </w:r>
      <w:r>
        <w:rPr>
          <w:rStyle w:val="Strong"/>
          <w:b w:val="false"/>
          <w:b w:val="false"/>
          <w:bCs w:val="false"/>
          <w:rtl w:val="true"/>
        </w:rPr>
        <w:t>הטעמים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לכך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רבים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Cs w:val="false"/>
          <w:rtl w:val="true"/>
        </w:rPr>
        <w:t>(</w:t>
      </w:r>
      <w:r>
        <w:rPr>
          <w:rStyle w:val="Strong"/>
          <w:b w:val="false"/>
          <w:b w:val="false"/>
          <w:bCs w:val="false"/>
          <w:rtl w:val="true"/>
        </w:rPr>
        <w:t>ראו</w:t>
      </w:r>
      <w:r>
        <w:rPr>
          <w:rStyle w:val="Strong"/>
          <w:b w:val="false"/>
          <w:bCs w:val="false"/>
          <w:rtl w:val="true"/>
        </w:rPr>
        <w:t xml:space="preserve">: </w:t>
      </w:r>
      <w:hyperlink r:id="rId38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u w:val="single"/>
          </w:rPr>
          <w:t>9878/09</w:t>
        </w:r>
      </w:hyperlink>
      <w:r>
        <w:rPr>
          <w:rStyle w:val="Strong"/>
          <w:b w:val="false"/>
          <w:bCs w:val="false"/>
          <w:rtl w:val="true"/>
        </w:rPr>
        <w:t xml:space="preserve"> </w:t>
      </w:r>
      <w:r>
        <w:rPr>
          <w:rStyle w:val="Strong"/>
          <w:rtl w:val="true"/>
        </w:rPr>
        <w:t>מדינת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ישראל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נ</w:t>
      </w:r>
      <w:r>
        <w:rPr>
          <w:rStyle w:val="Strong"/>
          <w:rtl w:val="true"/>
        </w:rPr>
        <w:t xml:space="preserve">' </w:t>
      </w:r>
      <w:r>
        <w:rPr>
          <w:rStyle w:val="Strong"/>
          <w:rtl w:val="true"/>
        </w:rPr>
        <w:t>מוסא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rtl w:val="true"/>
        </w:rPr>
        <w:t>פסקה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Cs w:val="false"/>
        </w:rPr>
        <w:t>26</w:t>
      </w:r>
      <w:r>
        <w:rPr>
          <w:rStyle w:val="Strong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לפסק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הדין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Cs w:val="false"/>
          <w:rtl w:val="true"/>
        </w:rPr>
        <w:t>(</w:t>
      </w:r>
      <w:r>
        <w:rPr>
          <w:rStyle w:val="Strong"/>
          <w:b w:val="false"/>
          <w:b w:val="false"/>
          <w:bCs w:val="false"/>
          <w:rtl w:val="true"/>
        </w:rPr>
        <w:t>פורסם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בנבו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Cs w:val="false"/>
        </w:rPr>
        <w:t>20.9.2010</w:t>
      </w:r>
      <w:r>
        <w:rPr>
          <w:rStyle w:val="Strong"/>
          <w:b w:val="false"/>
          <w:bCs w:val="false"/>
          <w:rtl w:val="true"/>
        </w:rPr>
        <w:t>)</w:t>
      </w:r>
      <w:r>
        <w:rPr>
          <w:rStyle w:val="Strong"/>
          <w:b w:val="false"/>
          <w:bCs w:val="false"/>
          <w:rtl w:val="true"/>
        </w:rPr>
        <w:t xml:space="preserve">) </w:t>
      </w:r>
      <w:r>
        <w:rPr>
          <w:rStyle w:val="Strong"/>
          <w:b w:val="false"/>
          <w:b w:val="false"/>
          <w:bCs w:val="false"/>
          <w:rtl w:val="true"/>
        </w:rPr>
        <w:t>וניתן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למנות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בין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היתר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טעמים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של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ערעור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המוסכמות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הבסיסיות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ביותר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של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החברה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הדמוקרטית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rtl w:val="true"/>
        </w:rPr>
        <w:t>אשר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מכבדת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את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שלטון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החוק</w:t>
      </w:r>
      <w:r>
        <w:rPr>
          <w:rStyle w:val="Strong"/>
          <w:b w:val="false"/>
          <w:bCs w:val="false"/>
          <w:rtl w:val="true"/>
        </w:rPr>
        <w:t xml:space="preserve">; </w:t>
      </w:r>
      <w:r>
        <w:rPr>
          <w:rStyle w:val="Strong"/>
          <w:b w:val="false"/>
          <w:b w:val="false"/>
          <w:bCs w:val="false"/>
          <w:rtl w:val="true"/>
        </w:rPr>
        <w:t>ומתן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אפשרות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לכך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ששוטרים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ימלאו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את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תפקידם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ללא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מורא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ופחד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Cs w:val="false"/>
          <w:rtl w:val="true"/>
        </w:rPr>
        <w:t>(</w:t>
      </w:r>
      <w:hyperlink r:id="rId39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u w:val="single"/>
          </w:rPr>
          <w:t>500/87</w:t>
        </w:r>
      </w:hyperlink>
      <w:r>
        <w:rPr>
          <w:rStyle w:val="Strong"/>
          <w:b w:val="false"/>
          <w:bCs w:val="false"/>
          <w:rtl w:val="true"/>
        </w:rPr>
        <w:t xml:space="preserve"> </w:t>
      </w:r>
      <w:r>
        <w:rPr>
          <w:rStyle w:val="Strong"/>
          <w:rtl w:val="true"/>
        </w:rPr>
        <w:t>בורוכוב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נ</w:t>
      </w:r>
      <w:r>
        <w:rPr>
          <w:rStyle w:val="Strong"/>
          <w:rtl w:val="true"/>
        </w:rPr>
        <w:t xml:space="preserve">' </w:t>
      </w:r>
      <w:r>
        <w:rPr>
          <w:rStyle w:val="Strong"/>
          <w:rtl w:val="true"/>
        </w:rPr>
        <w:t>מדינת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ישראל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Cs w:val="false"/>
          <w:rtl w:val="true"/>
        </w:rPr>
        <w:t>(</w:t>
      </w:r>
      <w:r>
        <w:rPr>
          <w:rStyle w:val="Strong"/>
          <w:b w:val="false"/>
          <w:b w:val="false"/>
          <w:bCs w:val="false"/>
          <w:rtl w:val="true"/>
        </w:rPr>
        <w:t>פורסם</w:t>
      </w:r>
      <w:r>
        <w:rPr>
          <w:rStyle w:val="Strong"/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בנבו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Cs w:val="false"/>
        </w:rPr>
        <w:t>8.3.1988</w:t>
      </w:r>
      <w:r>
        <w:rPr>
          <w:rStyle w:val="Strong"/>
          <w:b w:val="false"/>
          <w:bCs w:val="false"/>
          <w:rtl w:val="true"/>
        </w:rPr>
        <w:t xml:space="preserve">)). </w:t>
      </w:r>
    </w:p>
    <w:p>
      <w:pPr>
        <w:pStyle w:val="Normal"/>
        <w:overflowPunct w:val="false"/>
        <w:autoSpaceDE w:val="false"/>
        <w:spacing w:lineRule="auto" w:line="360" w:before="0" w:after="160"/>
        <w:ind w:start="567" w:end="0"/>
        <w:contextualSpacing/>
        <w:jc w:val="both"/>
        <w:rPr>
          <w:rStyle w:val="Strong"/>
          <w:rFonts w:ascii="Calibri" w:hAnsi="Calibri" w:cs="Calibri"/>
          <w:b w:val="false"/>
          <w:bCs w:val="false"/>
        </w:rPr>
      </w:pPr>
      <w:r>
        <w:rPr>
          <w:rtl w:val="true"/>
        </w:rPr>
      </w:r>
    </w:p>
    <w:p>
      <w:pPr>
        <w:pStyle w:val="Normal"/>
        <w:numPr>
          <w:ilvl w:val="0"/>
          <w:numId w:val="12"/>
        </w:numPr>
        <w:overflowPunct w:val="false"/>
        <w:autoSpaceDE w:val="false"/>
        <w:spacing w:lineRule="auto" w:line="360" w:before="0" w:after="160"/>
        <w:ind w:hanging="567" w:start="56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נסיבות המקרה צוינו בהרחבה בכתב האישום המפורט שהוגש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כלל את השתלשלות האירוע על כל דקדוקיו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המתואר 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לומר כי ככל שהדברים קשורים לעבירת הפרעה לשוטר במילוי 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בנסיבות המעמידות את העבירה ברף חומרה 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די אם נפנה להתנהגותם של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לפעולות האקטיביות והמניפולטיביות שבוצעו על ידם ולמאמץ שנדרש מאת השוטרים שהיו בנחיתות מספרית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בכלל זה ביצוע ירי לשם אזהרה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גם הנסיבות הקשורות בביצוע עבירת תקיפת שוטר המיוחסת לנאשם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 בכתב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כעולה מהפירוט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תקיפת השוטר הייתה בכך שנאשם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 בזרועותיו של השוטר קופלר בחוזקה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ניער אותו ודחף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 אלה לא מציבות עבירה זו ברף חומרה 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במאמר מוסגר אעיר כי בניסוח כתב האישום קיים קושי בכך שלא צוין אילו מעשים מגבשים את עבירת תקיפת השוטר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ראו סעיפים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 האישום המתוקן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 w:before="0" w:after="160"/>
        <w:ind w:start="56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לעניין עבירת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 xml:space="preserve">ות הנשק ככלל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ם 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לחיי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בין היתר</w:t>
      </w:r>
      <w:r>
        <w:rPr>
          <w:rFonts w:cs="David" w:ascii="David" w:hAnsi="David"/>
          <w:rtl w:val="true"/>
        </w:rPr>
        <w:t xml:space="preserve">: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3491/13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טוויק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15.11.2013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דאחל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29.3.2004</w:t>
      </w:r>
      <w:r>
        <w:rPr>
          <w:rFonts w:cs="David" w:ascii="David" w:hAnsi="David"/>
          <w:rtl w:val="true"/>
        </w:rPr>
        <w:t xml:space="preserve">);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צדוק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Calibri" w:hAnsi="Calibri" w:cs="Calibri"/>
          <w:rtl w:val="true"/>
        </w:rPr>
        <w:t xml:space="preserve">להבדיל מנאשם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נאשמים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 הורשעו בעבירה מושלמת של החזקת נשק אלא בעבירת סיוע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ולכך יש משקל אינהרנטי בקביעת מתחם העונש 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עמדה זו מעוגנת </w:t>
      </w:r>
      <w:hyperlink r:id="rId43">
        <w:r>
          <w:rPr>
            <w:rStyle w:val="Hyperlink"/>
            <w:rFonts w:ascii="Calibri" w:hAnsi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ט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)(</w:t>
        </w:r>
        <w:r>
          <w:rPr>
            <w:rStyle w:val="Hyperlink"/>
            <w:rFonts w:cs="David" w:ascii="Calibri" w:hAnsi="Calibri"/>
          </w:rPr>
          <w:t>2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בקביעת המתחם רשאי בית המשפט להתחשב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חלקו היחסי של הנאשם בביצוע העבירה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ככלל ראוי הוא שעונשו של המסייע יהיה קל יותר מן העונש שנגזר על המבצע העיקרי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כמו כן ראוי שבית המשפט ישים לנגד עיניו את היחס שנקבע על ידי המחוקק </w:t>
      </w:r>
      <w:r>
        <w:rPr>
          <w:rFonts w:cs="Calibri" w:ascii="Calibri" w:hAnsi="Calibri"/>
          <w:rtl w:val="true"/>
        </w:rPr>
        <w:t>(</w:t>
      </w:r>
      <w:hyperlink r:id="rId45">
        <w:r>
          <w:rPr>
            <w:rStyle w:val="Hyperlink"/>
            <w:rFonts w:ascii="Calibri" w:hAnsi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32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בין עונשו של המבצע העיקרי לעומת עונשו של המסייע </w:t>
      </w:r>
      <w:r>
        <w:rPr>
          <w:rFonts w:cs="Calibri" w:ascii="Calibri" w:hAnsi="Calibri"/>
          <w:rtl w:val="true"/>
        </w:rPr>
        <w:t>(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סבאג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16.3.2014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ואולם אין משמעות הדבר שיש לערוך חישוב מתמאטי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שכן לצד היחס בין עונשו המקסימלי של מסייע לעומת מבצע עיקרי יש לתת את הדעת למכלול הנסיבות </w:t>
      </w:r>
      <w:r>
        <w:rPr>
          <w:rFonts w:cs="Arial TUR;Arial" w:ascii="Arial TUR;Arial" w:hAnsi="Arial TUR;Arial"/>
          <w:spacing w:val="10"/>
          <w:rtl w:val="true"/>
        </w:rPr>
        <w:t>(</w:t>
      </w:r>
      <w:hyperlink r:id="rId48"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</w:rPr>
          <w:t>4463/12</w:t>
        </w:r>
      </w:hyperlink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bCs/>
          <w:spacing w:val="10"/>
          <w:rtl w:val="true"/>
        </w:rPr>
        <w:t>ארנבורג</w:t>
      </w:r>
      <w:r>
        <w:rPr>
          <w:rFonts w:ascii="Arial TUR;Arial" w:hAnsi="Arial TUR;Arial" w:cs="Arial TUR;Arial"/>
          <w:bCs/>
          <w:spacing w:val="10"/>
          <w:rtl w:val="true"/>
        </w:rPr>
        <w:t xml:space="preserve"> </w:t>
      </w:r>
      <w:r>
        <w:rPr>
          <w:rFonts w:ascii="Arial TUR;Arial" w:hAnsi="Arial TUR;Arial" w:cs="Arial TUR;Arial"/>
          <w:bCs/>
          <w:spacing w:val="10"/>
          <w:rtl w:val="true"/>
        </w:rPr>
        <w:t>נ</w:t>
      </w:r>
      <w:r>
        <w:rPr>
          <w:rFonts w:cs="Arial TUR;Arial" w:ascii="Arial TUR;Arial" w:hAnsi="Arial TUR;Arial"/>
          <w:bCs/>
          <w:spacing w:val="10"/>
          <w:rtl w:val="true"/>
        </w:rPr>
        <w:t xml:space="preserve">' </w:t>
      </w:r>
      <w:r>
        <w:rPr>
          <w:rFonts w:ascii="Arial TUR;Arial" w:hAnsi="Arial TUR;Arial" w:cs="Arial TUR;Arial"/>
          <w:bCs/>
          <w:spacing w:val="10"/>
          <w:rtl w:val="true"/>
        </w:rPr>
        <w:t>מדינת</w:t>
      </w:r>
      <w:r>
        <w:rPr>
          <w:rFonts w:ascii="Arial TUR;Arial" w:hAnsi="Arial TUR;Arial" w:cs="Arial TUR;Arial"/>
          <w:bCs/>
          <w:spacing w:val="10"/>
          <w:rtl w:val="true"/>
        </w:rPr>
        <w:t xml:space="preserve"> </w:t>
      </w:r>
      <w:r>
        <w:rPr>
          <w:rFonts w:ascii="Arial TUR;Arial" w:hAnsi="Arial TUR;Arial" w:cs="Arial TUR;Arial"/>
          <w:bCs/>
          <w:spacing w:val="10"/>
          <w:rtl w:val="true"/>
        </w:rPr>
        <w:t>ישראל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ascii="Arial TUR;Arial" w:hAnsi="Arial TUR;Arial" w:cs="Arial TUR;Arial"/>
          <w:spacing w:val="10"/>
          <w:rtl w:val="true"/>
        </w:rPr>
        <w:t>פורסם בנבו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cs="Arial TUR;Arial" w:ascii="Arial TUR;Arial" w:hAnsi="Arial TUR;Arial"/>
          <w:spacing w:val="10"/>
        </w:rPr>
        <w:t>13.9.2012</w:t>
      </w:r>
      <w:r>
        <w:rPr>
          <w:rFonts w:cs="Arial TUR;Arial" w:ascii="Arial TUR;Arial" w:hAnsi="Arial TUR;Arial"/>
          <w:spacing w:val="10"/>
          <w:rtl w:val="true"/>
        </w:rPr>
        <w:t>)</w:t>
      </w:r>
      <w:r>
        <w:rPr>
          <w:rFonts w:cs="Arial TUR;Arial" w:ascii="Arial TUR;Arial" w:hAnsi="Arial TUR;Arial"/>
          <w:spacing w:val="10"/>
          <w:rtl w:val="true"/>
        </w:rPr>
        <w:t>).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Arial TUR;Arial" w:hAnsi="Arial TUR;Arial" w:cs="Arial TUR;Arial"/>
          <w:spacing w:val="10"/>
          <w:rtl w:val="true"/>
        </w:rPr>
        <w:t xml:space="preserve">מעובדות כתב האישום המתוקן עולה כי חלקם של נאשמים </w:t>
      </w:r>
      <w:r>
        <w:rPr>
          <w:rFonts w:cs="Arial TUR;Arial" w:ascii="Arial TUR;Arial" w:hAnsi="Arial TUR;Arial"/>
          <w:spacing w:val="10"/>
        </w:rPr>
        <w:t>2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ו</w:t>
      </w:r>
      <w:r>
        <w:rPr>
          <w:rFonts w:cs="Arial TUR;Arial" w:ascii="Arial TUR;Arial" w:hAnsi="Arial TUR;Arial"/>
          <w:spacing w:val="10"/>
          <w:rtl w:val="true"/>
        </w:rPr>
        <w:t>-</w:t>
      </w:r>
      <w:r>
        <w:rPr>
          <w:rFonts w:cs="Arial TUR;Arial" w:ascii="Arial TUR;Arial" w:hAnsi="Arial TUR;Arial"/>
          <w:spacing w:val="10"/>
        </w:rPr>
        <w:t>3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 xml:space="preserve">התבטא בכך שהם סייעו לנאשם </w:t>
      </w:r>
      <w:r>
        <w:rPr>
          <w:rFonts w:cs="Arial TUR;Arial" w:ascii="Arial TUR;Arial" w:hAnsi="Arial TUR;Arial"/>
          <w:spacing w:val="10"/>
        </w:rPr>
        <w:t>1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 xml:space="preserve">להחזיק את הנשק בתוך הרכב וכן נאשם </w:t>
      </w:r>
      <w:r>
        <w:rPr>
          <w:rFonts w:cs="Arial TUR;Arial" w:ascii="Arial TUR;Arial" w:hAnsi="Arial TUR;Arial"/>
          <w:spacing w:val="10"/>
        </w:rPr>
        <w:t>2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 xml:space="preserve">פירק את דופן הדלת השמאלית האחורית כדי לסייע לנאשם </w:t>
      </w:r>
      <w:r>
        <w:rPr>
          <w:rFonts w:cs="Arial TUR;Arial" w:ascii="Arial TUR;Arial" w:hAnsi="Arial TUR;Arial"/>
          <w:spacing w:val="10"/>
        </w:rPr>
        <w:t>1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להסליק את הנשק ולמנוע תפיסתו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יצוין עוד כי הנשק שנתפס בזירה היה ללא מחסנית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כמובן שיש להתייחס ל</w:t>
      </w:r>
      <w:r>
        <w:rPr>
          <w:rFonts w:ascii="Arial TUR;Arial" w:hAnsi="Arial TUR;Arial" w:cs="Arial TUR;Arial"/>
          <w:spacing w:val="10"/>
          <w:rtl w:val="true"/>
        </w:rPr>
        <w:t>סיכון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הפוטנציאלי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הנובע מהחזקת נשק שלא כדין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Arial TUR;Arial" w:hAnsi="Arial TUR;Arial" w:cs="Arial TUR;Arial"/>
          <w:spacing w:val="10"/>
          <w:rtl w:val="true"/>
        </w:rPr>
        <w:t xml:space="preserve">הגם שלנאשם </w:t>
      </w:r>
      <w:r>
        <w:rPr>
          <w:rFonts w:cs="Arial TUR;Arial" w:ascii="Arial TUR;Arial" w:hAnsi="Arial TUR;Arial"/>
          <w:spacing w:val="10"/>
        </w:rPr>
        <w:t>3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מיוחסת בנוסף עבירה של תקיפת שוטר במילוי תפקידו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וקיימת שונות בחלקו של כל אחד בעבירת ההפרעה לשוטר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אינני רואה לקבוע מתחם שונה לנאשם זה ביחס לנאשם </w:t>
      </w:r>
      <w:r>
        <w:rPr>
          <w:rFonts w:cs="Arial TUR;Arial" w:ascii="Arial TUR;Arial" w:hAnsi="Arial TUR;Arial"/>
          <w:spacing w:val="10"/>
        </w:rPr>
        <w:t>2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וזאת ממספר טעמים</w:t>
      </w:r>
      <w:r>
        <w:rPr>
          <w:rFonts w:cs="Arial TUR;Arial" w:ascii="Arial TUR;Arial" w:hAnsi="Arial TUR;Arial"/>
          <w:spacing w:val="10"/>
          <w:rtl w:val="true"/>
        </w:rPr>
        <w:t xml:space="preserve">: </w:t>
      </w:r>
      <w:r>
        <w:rPr>
          <w:rFonts w:ascii="Arial TUR;Arial" w:hAnsi="Arial TUR;Arial" w:cs="Arial TUR;Arial"/>
          <w:spacing w:val="10"/>
          <w:rtl w:val="true"/>
        </w:rPr>
        <w:t>ראשית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ניתן לומר כי ככל שהדברים נוגעים לנסיבות הקשורות בביצוע עבירת ההפרעה לשוטר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חלקיהם דומים גם אם לא זהים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שנית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כפי שצוין לעיל נסיבות עבירת התקיפה אינן ברף גבוה וניתן אף לומר כי עבירה זו קשורה בטבורה להתנהגות השניים שנועדו להכשיל את השוטרים במילוי תפקידם ולהפריע להם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שלישית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חלקו של נאשם </w:t>
      </w:r>
      <w:r>
        <w:rPr>
          <w:rFonts w:cs="Arial TUR;Arial" w:ascii="Arial TUR;Arial" w:hAnsi="Arial TUR;Arial"/>
          <w:spacing w:val="10"/>
        </w:rPr>
        <w:t>2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 xml:space="preserve">בעבירת הנשק היה רב יותר מאשר נאשם </w:t>
      </w:r>
      <w:r>
        <w:rPr>
          <w:rFonts w:cs="Arial TUR;Arial" w:ascii="Arial TUR;Arial" w:hAnsi="Arial TUR;Arial"/>
          <w:spacing w:val="10"/>
        </w:rPr>
        <w:t>3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 xml:space="preserve">יוזכר כי לגבי נאשם </w:t>
      </w:r>
      <w:r>
        <w:rPr>
          <w:rFonts w:cs="Arial TUR;Arial" w:ascii="Arial TUR;Arial" w:hAnsi="Arial TUR;Arial"/>
          <w:spacing w:val="10"/>
        </w:rPr>
        <w:t>2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נטען כי הוא פירק את דופן דלת הרכב</w:t>
      </w:r>
      <w:r>
        <w:rPr>
          <w:rFonts w:cs="Arial TUR;Arial" w:ascii="Arial TUR;Arial" w:hAnsi="Arial TUR;Arial"/>
          <w:spacing w:val="10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David" w:hAnsi="David"/>
          <w:rtl w:val="true"/>
        </w:rPr>
        <w:t>עיון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אפנה בעניין זה לפסיקה אליה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שמתייחסת לעבירה מושלמת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3288/14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24.8.2014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הוטל 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סבית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29.5.2014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נגזר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2822/12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דואהרי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25.4.2012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הוטל 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עודתאלה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29.9.2013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הוטל עונש של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15148-03-12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כבהה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19.2.2013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להפנות ל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34956-02-10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23.10.2011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52639-03-11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רומי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16.6.2011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) </w:t>
      </w:r>
      <w:hyperlink r:id="rId55">
        <w:r>
          <w:rPr>
            <w:rStyle w:val="Hyperlink"/>
            <w:rFonts w:cs="David" w:ascii="David" w:hAnsi="David"/>
            <w:color w:val="0000FF"/>
            <w:u w:val="single"/>
          </w:rPr>
          <w:t>207/08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בלטי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2.11.2008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נצרת</w:t>
      </w:r>
      <w:r>
        <w:rPr>
          <w:rFonts w:cs="David" w:ascii="David" w:hAnsi="David"/>
          <w:rtl w:val="true"/>
        </w:rPr>
        <w:t xml:space="preserve">) </w:t>
      </w:r>
      <w:hyperlink r:id="rId56">
        <w:r>
          <w:rPr>
            <w:rStyle w:val="Hyperlink"/>
            <w:rFonts w:cs="David" w:ascii="David" w:hAnsi="David"/>
          </w:rPr>
          <w:t>1074/07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שלבי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6.3.2008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רמלה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35552-12-11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1.5.2013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53396-06-13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זועבי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29.10.2013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נתונים המובאים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לגבי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 ברף התחתון מאסר בפועל בן מספר חודשים שיכול ויוטל בעבודות שירות במקרים המתאימים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שזהו הגבול העליון של המתחם לו טענה המאשימה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במאמר מוסגר כי הגם שאני נוטה לסבור שיש לקבוע מתחם עליון ברף יותר גבוה מעבר לזה לו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אינני רואה לעשות כן בנסיבות העניין ולאור טיעון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Arial TUR;Arial" w:hAnsi="Arial TUR;Arial" w:cs="Arial TUR;Arial"/>
          <w:spacing w:val="10"/>
          <w:rtl w:val="true"/>
        </w:rPr>
        <w:t xml:space="preserve">אשר לנאשם </w:t>
      </w:r>
      <w:r>
        <w:rPr>
          <w:rFonts w:cs="Arial TUR;Arial" w:ascii="Arial TUR;Arial" w:hAnsi="Arial TUR;Arial"/>
          <w:spacing w:val="10"/>
        </w:rPr>
        <w:t>1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כאמור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 TUR;Arial" w:hAnsi="Arial TUR;Arial" w:cs="Arial TUR;Arial"/>
          <w:b/>
          <w:bCs/>
          <w:spacing w:val="10"/>
        </w:rPr>
      </w:pPr>
      <w:r>
        <w:rPr>
          <w:rFonts w:ascii="Arial TUR;Arial" w:hAnsi="Arial TUR;Arial" w:cs="Arial TUR;Arial"/>
          <w:b/>
          <w:b/>
          <w:bCs/>
          <w:spacing w:val="10"/>
          <w:rtl w:val="true"/>
        </w:rPr>
        <w:t>שיקולים לעניין גזירת העונש בתוך המתחם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 TUR;Arial" w:hAnsi="Arial TUR;Arial" w:cs="Arial TUR;Arial"/>
          <w:b/>
          <w:bCs/>
          <w:spacing w:val="10"/>
        </w:rPr>
      </w:pPr>
      <w:r>
        <w:rPr>
          <w:rFonts w:cs="Arial TUR;Arial" w:ascii="Arial TUR;Arial" w:hAnsi="Arial TUR;Arial"/>
          <w:b/>
          <w:bCs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הסנגור תיאר כי המדובר</w:t>
      </w:r>
      <w:r>
        <w:rPr>
          <w:rFonts w:ascii="David" w:hAnsi="David" w:eastAsia="David"/>
          <w:rtl w:val="true"/>
        </w:rPr>
        <w:t xml:space="preserve"> בבן למשפחה נורמטיבית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סיים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לימוד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שירת בצה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גויס לגדנ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ע והיה בגרעין נח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.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Arial TUR;Arial" w:hAnsi="Arial TUR;Arial" w:cs="Arial TUR;Arial"/>
          <w:spacing w:val="10"/>
          <w:u w:val="single"/>
          <w:rtl w:val="true"/>
        </w:rPr>
        <w:t xml:space="preserve">נאשם </w:t>
      </w:r>
      <w:r>
        <w:rPr>
          <w:rFonts w:cs="Arial TUR;Arial" w:ascii="Arial TUR;Arial" w:hAnsi="Arial TUR;Arial"/>
          <w:spacing w:val="10"/>
          <w:u w:val="single"/>
        </w:rPr>
        <w:t>2</w:t>
      </w:r>
      <w:r>
        <w:rPr>
          <w:rFonts w:cs="Arial TUR;Arial" w:ascii="Arial TUR;Arial" w:hAnsi="Arial TUR;Arial"/>
          <w:spacing w:val="10"/>
          <w:rtl w:val="true"/>
        </w:rPr>
        <w:t xml:space="preserve">: </w:t>
      </w:r>
      <w:r>
        <w:rPr>
          <w:rFonts w:ascii="Arial TUR;Arial" w:hAnsi="Arial TUR;Arial" w:cs="Arial TUR;Arial"/>
          <w:spacing w:val="10"/>
          <w:rtl w:val="true"/>
        </w:rPr>
        <w:t xml:space="preserve">נאשם זה יליד </w:t>
      </w:r>
      <w:r>
        <w:rPr>
          <w:rFonts w:cs="Arial TUR;Arial" w:ascii="Arial TUR;Arial" w:hAnsi="Arial TUR;Arial"/>
          <w:spacing w:val="10"/>
        </w:rPr>
        <w:t>1979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הסנגור ציין את נסיבותיו האישיות ובכללן העובדה שהוא נשוי ואב לילד בן שלושה חודשים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עיון בגיליון הרשעותיו הקודמות מגלה כי המדובר במי שלחובתו עבר מכביד הן בכמות והן ב</w:t>
      </w: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spacing w:val="10"/>
          <w:rtl w:val="true"/>
        </w:rPr>
        <w:t>איכות</w:t>
      </w:r>
      <w:r>
        <w:rPr>
          <w:rFonts w:cs="Arial TUR;Arial" w:ascii="Arial TUR;Arial" w:hAnsi="Arial TUR;Arial"/>
          <w:spacing w:val="10"/>
          <w:rtl w:val="true"/>
        </w:rPr>
        <w:t xml:space="preserve">". </w:t>
      </w:r>
      <w:r>
        <w:rPr>
          <w:rFonts w:ascii="Arial TUR;Arial" w:hAnsi="Arial TUR;Arial" w:cs="Arial TUR;Arial"/>
          <w:spacing w:val="10"/>
          <w:rtl w:val="true"/>
        </w:rPr>
        <w:t xml:space="preserve">לנאשם </w:t>
      </w:r>
      <w:r>
        <w:rPr>
          <w:rFonts w:cs="Arial TUR;Arial" w:ascii="Arial TUR;Arial" w:hAnsi="Arial TUR;Arial"/>
          <w:spacing w:val="10"/>
        </w:rPr>
        <w:t>10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הרשעות קודמות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הנאשם נדון בעבר בעבירות נשק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אלימות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גרימת פיצוץ בחומר נפץ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עבירות כלפי שוטרים ועוד</w:t>
      </w:r>
      <w:r>
        <w:rPr>
          <w:rFonts w:cs="Arial TUR;Arial" w:ascii="Arial TUR;Arial" w:hAnsi="Arial TUR;Arial"/>
          <w:spacing w:val="10"/>
          <w:rtl w:val="true"/>
        </w:rPr>
        <w:t xml:space="preserve">; </w:t>
      </w:r>
      <w:r>
        <w:rPr>
          <w:rFonts w:ascii="Arial TUR;Arial" w:hAnsi="Arial TUR;Arial" w:cs="Arial TUR;Arial"/>
          <w:spacing w:val="10"/>
          <w:rtl w:val="true"/>
        </w:rPr>
        <w:t>וכן ריצה מספר מאסרים בפועל ואף לתקופות ארוכות</w:t>
      </w:r>
      <w:r>
        <w:rPr>
          <w:rFonts w:cs="Arial TUR;Arial" w:ascii="Arial TUR;Arial" w:hAnsi="Arial TUR;Arial"/>
          <w:spacing w:val="10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David" w:hAnsi="David" w:eastAsia="David" w:cs="David"/>
        </w:rPr>
      </w:pPr>
      <w:r>
        <w:rPr>
          <w:rFonts w:ascii="Arial TUR;Arial" w:hAnsi="Arial TUR;Arial" w:cs="Arial TUR;Arial"/>
          <w:spacing w:val="10"/>
          <w:u w:val="single"/>
          <w:rtl w:val="true"/>
        </w:rPr>
        <w:t xml:space="preserve">נאשם </w:t>
      </w:r>
      <w:r>
        <w:rPr>
          <w:rFonts w:cs="Arial TUR;Arial" w:ascii="Arial TUR;Arial" w:hAnsi="Arial TUR;Arial"/>
          <w:spacing w:val="10"/>
          <w:u w:val="single"/>
        </w:rPr>
        <w:t>3</w:t>
      </w:r>
      <w:r>
        <w:rPr>
          <w:rFonts w:cs="Arial TUR;Arial" w:ascii="Arial TUR;Arial" w:hAnsi="Arial TUR;Arial"/>
          <w:spacing w:val="10"/>
          <w:rtl w:val="true"/>
        </w:rPr>
        <w:t xml:space="preserve">:  </w:t>
      </w:r>
      <w:r>
        <w:rPr>
          <w:rFonts w:ascii="Arial TUR;Arial" w:hAnsi="Arial TUR;Arial" w:cs="Arial TUR;Arial"/>
          <w:spacing w:val="10"/>
          <w:rtl w:val="true"/>
        </w:rPr>
        <w:t xml:space="preserve">נאשם זה יליד </w:t>
      </w:r>
      <w:r>
        <w:rPr>
          <w:rFonts w:cs="Arial TUR;Arial" w:ascii="Arial TUR;Arial" w:hAnsi="Arial TUR;Arial"/>
          <w:spacing w:val="10"/>
        </w:rPr>
        <w:t>1988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 xml:space="preserve">נטען על ידי הסנגור כי </w:t>
      </w:r>
      <w:r>
        <w:rPr>
          <w:rFonts w:ascii="David" w:hAnsi="David" w:eastAsia="David"/>
          <w:rtl w:val="true"/>
        </w:rPr>
        <w:t>הנאשם הוא אב לילד קטין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שהקשר עמו היה רופף אך התחזק בתקופה האחרונה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 בתקופה עובר למעצרו הוא החל בטיפולי פוריות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כן נטען כי הוא בן למשפחה מכובדת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אמו אשת ציבור ואביו נפצע במערכות ישראל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לעניין עברו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עיון בגיליון ההרשעות הקודמות מלמד כי לחובתו עבר מכביד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עברו כולל הרשעות בין היתר בעבירות סחיטה באיומים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שוד מזוין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עבירות אלימות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סחר בסמים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עבירות רכוש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מרמה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עבירות רכב ועוד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הרשעתו האחרונה של הנאשם היא מיום </w:t>
      </w:r>
      <w:r>
        <w:rPr>
          <w:rFonts w:eastAsia="David" w:cs="David" w:ascii="David" w:hAnsi="David"/>
        </w:rPr>
        <w:t>19.5.2015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בגינה נדון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בעבר נדון הנאשם לתקופות מאסר נוספות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Arial TUR;Arial" w:hAnsi="Arial TUR;Arial" w:eastAsia="David" w:cs="Arial TUR;Arial"/>
          <w:spacing w:val="10"/>
        </w:rPr>
      </w:pPr>
      <w:r>
        <w:rPr>
          <w:rFonts w:eastAsia="David" w:cs="Arial TUR;Arial" w:ascii="Arial TUR;Arial" w:hAnsi="Arial TUR;Arial"/>
          <w:spacing w:val="10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567" w:start="567" w:end="0"/>
        <w:contextualSpacing/>
        <w:jc w:val="both"/>
        <w:rPr>
          <w:rFonts w:ascii="Arial TUR;Arial" w:hAnsi="Arial TUR;Arial" w:cs="Arial TUR;Arial"/>
          <w:spacing w:val="10"/>
        </w:rPr>
      </w:pPr>
      <w:r>
        <w:rPr>
          <w:rFonts w:ascii="Arial TUR;Arial" w:hAnsi="Arial TUR;Arial" w:cs="Arial TUR;Arial"/>
          <w:spacing w:val="10"/>
          <w:rtl w:val="true"/>
        </w:rPr>
        <w:t>בנוסף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יש לשקול את הודאת הנאשמים בעובדות כתב האישום המתוקן כבר בראשיתו של ההליך ואף עוד לפני שניתנה החלטה בבקשת המעצר עד תום ההליכים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וכן את עובדת היותם במעצר מאז יום המקרה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10"/>
        </w:rPr>
      </w:pPr>
      <w:r>
        <w:rPr>
          <w:rFonts w:cs="Arial" w:ascii="Arial" w:hAnsi="Arial"/>
          <w:b/>
          <w:bCs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המאסרים על תנאי לגבי נאשמים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Arial" w:hAnsi="Arial" w:eastAsia="David" w:cs="Arial"/>
        </w:rPr>
      </w:pPr>
      <w:r>
        <w:rPr>
          <w:rFonts w:ascii="David" w:hAnsi="David" w:eastAsia="David"/>
          <w:rtl w:val="true"/>
        </w:rPr>
        <w:t>אין מחלוקת כי נגד כל אחד מן הנאשמים תלויים ועומדים שני מאסרים על תנאי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נגד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תלויים ועומדים שני תנאים ברי הפעלה האחד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בן חודשיים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הוטל בגזר דין שניתן בבית משפט זה בתיק </w:t>
      </w:r>
      <w:r>
        <w:rPr>
          <w:rFonts w:eastAsia="David" w:cs="David" w:ascii="David" w:hAnsi="David"/>
        </w:rPr>
        <w:t>50904-11-13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והשני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בן ששה חודשים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שהוטל בגזר דין שניתן בבית המשפט המחוזי בחיפה </w:t>
      </w:r>
      <w:r>
        <w:rPr>
          <w:rFonts w:eastAsia="David" w:cs="David" w:ascii="David" w:hAnsi="David"/>
          <w:rtl w:val="true"/>
        </w:rPr>
        <w:t>(</w:t>
      </w:r>
      <w:hyperlink r:id="rId6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56375-02-14</w:t>
        </w:r>
      </w:hyperlink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כתב האישום וגזר הדין הוגש וסומן 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נגד 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 xml:space="preserve">מאסר על תנאי בן 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שהוטל בגזר דין שניתן בבית משפט השלום בחיפה </w:t>
      </w:r>
      <w:r>
        <w:rPr>
          <w:rFonts w:eastAsia="David" w:cs="David" w:ascii="David" w:hAnsi="David"/>
        </w:rPr>
        <w:t>36426-01-15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והשני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שהוטל בגזר דין שניתן בבית משפט השלום בנצרת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27333-04-12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סומן 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במסגרת ההסדר שהוצג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המאשימה מסכימה ששני התנאים יופעלו בחופף זה לזה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אולם היא עתרה להטיל על כל אחד מן הנאשמים את התקופה המוסכמת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ששת החודשים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במצטבר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הפנתה לעברו של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שהתנאי שהוטל בבית המשפט המחוזי היה לפני כשנה מביצוע העבירות בתיק דנן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ובאותו גזר דין הופעל תנאי בחופף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נטען עוד כי המדינה הסכימה להפעיל את העונשים המותנים שעומדים נגד כל אחד מנאשמים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בחופף</w:t>
      </w:r>
      <w:r>
        <w:rPr>
          <w:rFonts w:eastAsia="David" w:cs="David" w:ascii="David" w:hAnsi="David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 w:eastAsia="David"/>
          <w:rtl w:val="true"/>
        </w:rPr>
        <w:t>טען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נאשמים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שיש להפעיל את התנאי בחופף ולו באופן חלקי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באופן שלא יוטל עונש כולל  העולה על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ביקש להפעיל את התנאי בחופף באופן חלקי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 xml:space="preserve">הכלל הקבוע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הוא כי עונש מאסר על תנאי יופעל 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והפעלתו בחופף אפשרית רק מטעמים מיוחדים שיירשמו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 למשל</w:t>
      </w:r>
      <w:r>
        <w:rPr>
          <w:rFonts w:cs="Calibri" w:ascii="Calibri" w:hAnsi="Calibri"/>
          <w:rtl w:val="true"/>
        </w:rPr>
        <w:t xml:space="preserve">: 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4716/12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דטסה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6.6.2013</w:t>
      </w:r>
      <w:r>
        <w:rPr>
          <w:rFonts w:cs="Calibri" w:ascii="Calibri" w:hAnsi="Calibri"/>
          <w:rtl w:val="true"/>
        </w:rPr>
        <w:t xml:space="preserve">); 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3869/09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28.12.2009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בנסיבות המקרה 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מתקיימים טעמים מיוחדים המצדיקים את הפעלת התנאי בחופף ולא 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אף לומר כי נסיבות המקרה אף מחייבות הפעלת עונש התנאי במצטבר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בכתב אישום שעובדותיו והנסיבות המפורטות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מעלות תמונה של התנהלות חמורה מצד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אם בעניין הנשק הורשעו הנאשמים בעבירת סיוע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ניתן להתעלם ממכלול ההתנהגות המתוארת בכתב 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המאסרים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תנאי לתקופה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הוטלו על הנאשמים בגזרי דין בתיקים שהנסיבות העולות מהם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 הלכה כברת דרך משמעותית עת הסכימה כי שני המאסרים על תנאי יופעלו נגד כל אחד מן הנאשמים בחפיפה אחד לשני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כן אני קובע כי יש להפעיל את עונש המאסר על תנאי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ששת החודשים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במצטבר לעונש המאסר שיוטל על כל אחד מן הנאשמים בתיק זה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מבט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על על שיקולי הענישה ביחס לשלושת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להביט על עונשם של השלושה במבט על כדי להביא להלימה בין העונשים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שיבטא את השונות בחלקיהם של כל אחד ואחד מן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והעבירות בהן 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במיוחד העובדה שנאשמים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בעבירת סיוע להחזקת נשק ולא בעבירה מושלמת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לצד עובדה זו יש להפנות את המבט לכך שהעבירות כלפי השוטרים בוצעו על רקע החזקת הנשק וניסיון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לברוח עם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שלטעמי יש לראות בנאשם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כמבצע העיקרי של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לו תרומה משמעותית להתפתחות האירועים המאוחרים הנובעים מניסיונו לנוס עם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לכך שהשלושה פעלו בצוותא כחבורה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לשיקולים אלה יש לתת את הדעת לשונות בין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בנקודות מסוימות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לחומרה יותר וחלק 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שמעמיד את שניהם בסופו של דבר במצב דומה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גזר 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tl w:val="true"/>
        </w:rPr>
        <w:t>קצרו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21.2.2016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1.6.2016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ובמועדו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56375-02-14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3.3.2015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50904-11-13</w:t>
        </w:r>
      </w:hyperlink>
      <w:r>
        <w:rPr>
          <w:rtl w:val="true"/>
        </w:rPr>
        <w:t xml:space="preserve"> 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22.12.2015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בניכוי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21.2.2016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56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1.6.2016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ובמועדו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27333-04-12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11.11.2013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36426-01-15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19.5.2015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בניכוי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21.2.2016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56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),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1.6.2016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ובמועדו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</w:t>
      </w:r>
      <w:r>
        <w:rPr>
          <w:b/>
          <w:b/>
          <w:bCs/>
          <w:u w:val="single"/>
          <w:rtl w:val="true"/>
        </w:rPr>
        <w:t>מי</w:t>
      </w:r>
      <w:r>
        <w:rPr>
          <w:b/>
          <w:b/>
          <w:bCs/>
          <w:u w:val="single"/>
          <w:rtl w:val="true"/>
        </w:rPr>
        <w:t>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3"/>
      <w:footerReference w:type="default" r:id="rId8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קריות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9687-03-16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פרקליטות מחוז חיפה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לאל פראג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0"/>
        </w:tabs>
        <w:ind w:start="567" w:hanging="567"/>
      </w:pPr>
      <w:rPr>
        <w:szCs w:val="20"/>
      </w:rPr>
    </w:lvl>
  </w:abstractNum>
  <w:abstractNum w:abstractNumId="13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ascii="Symbol" w:hAnsi="Symbol" w:cs="Symbol"/>
    </w:rPr>
  </w:style>
  <w:style w:type="character" w:styleId="WW8Num12z0">
    <w:name w:val="WW8Num12z0"/>
    <w:qFormat/>
    <w:rPr>
      <w:rFonts w:ascii="Times New (W1);Times New Roman" w:hAnsi="Times New (W1);Times New Roman" w:cs="Times New (W1);Times New Roman"/>
      <w:color w:val="000000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  <w:sz w:val="2"/>
      <w:szCs w:val="24"/>
    </w:rPr>
  </w:style>
  <w:style w:type="character" w:styleId="WW8Num14z0">
    <w:name w:val="WW8Num14z0"/>
    <w:qFormat/>
    <w:rPr>
      <w:rFonts w:cs="Times New Roman"/>
      <w:sz w:val="20"/>
      <w:szCs w:val="20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szCs w:val="20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31">
    <w:name w:val=" Char Char31"/>
    <w:qFormat/>
    <w:rPr>
      <w:rFonts w:cs="David"/>
      <w:b/>
      <w:bCs/>
      <w:sz w:val="28"/>
      <w:szCs w:val="28"/>
      <w:lang w:val="en-US"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  <w:lang w:val="en-US" w:bidi="he-IL"/>
    </w:rPr>
  </w:style>
  <w:style w:type="character" w:styleId="CharChar23">
    <w:name w:val=" Char Char23"/>
    <w:qFormat/>
    <w:rPr>
      <w:rFonts w:cs="David"/>
      <w:sz w:val="24"/>
      <w:szCs w:val="24"/>
      <w:lang w:val="en-US" w:bidi="he-IL"/>
    </w:rPr>
  </w:style>
  <w:style w:type="character" w:styleId="CharChar22">
    <w:name w:val=" Char Char22"/>
    <w:qFormat/>
    <w:rPr>
      <w:rFonts w:cs="David"/>
      <w:sz w:val="24"/>
      <w:szCs w:val="24"/>
      <w:lang w:val="en-US" w:bidi="he-IL"/>
    </w:rPr>
  </w:style>
  <w:style w:type="character" w:styleId="CharChar21">
    <w:name w:val=" Char Char21"/>
    <w:qFormat/>
    <w:rPr>
      <w:rFonts w:cs="David"/>
      <w:sz w:val="24"/>
      <w:szCs w:val="24"/>
      <w:lang w:val="en-US" w:bidi="he-IL"/>
    </w:rPr>
  </w:style>
  <w:style w:type="character" w:styleId="CharChar20">
    <w:name w:val=" Char Char20"/>
    <w:qFormat/>
    <w:rPr>
      <w:rFonts w:cs="David"/>
      <w:sz w:val="16"/>
      <w:szCs w:val="16"/>
      <w:lang w:val="en-US" w:bidi="he-IL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  <w:lang w:val="en-US" w:bidi="he-IL"/>
    </w:rPr>
  </w:style>
  <w:style w:type="character" w:styleId="CharChar18">
    <w:name w:val=" Char Char18"/>
    <w:qFormat/>
    <w:rPr>
      <w:rFonts w:cs="David"/>
      <w:sz w:val="24"/>
      <w:szCs w:val="24"/>
      <w:lang w:val="en-US" w:bidi="he-IL"/>
    </w:rPr>
  </w:style>
  <w:style w:type="character" w:styleId="CharChar17">
    <w:name w:val=" Char Char17"/>
    <w:qFormat/>
    <w:rPr>
      <w:rFonts w:cs="David"/>
      <w:lang w:val="en-US" w:bidi="he-IL"/>
    </w:rPr>
  </w:style>
  <w:style w:type="character" w:styleId="CharChar16">
    <w:name w:val=" Char Char16"/>
    <w:qFormat/>
    <w:rPr>
      <w:rFonts w:cs="David"/>
      <w:lang w:val="en-US" w:bidi="he-IL"/>
    </w:rPr>
  </w:style>
  <w:style w:type="character" w:styleId="CharChar15">
    <w:name w:val=" Char Char15"/>
    <w:qFormat/>
    <w:rPr>
      <w:rFonts w:ascii="Consolas" w:hAnsi="Consolas" w:cs="David"/>
      <w:lang w:val="en-US" w:bidi="he-IL"/>
    </w:rPr>
  </w:style>
  <w:style w:type="character" w:styleId="PlaceholderText">
    <w:name w:val="Placeholder Text"/>
    <w:qFormat/>
    <w:rPr>
      <w:color w:val="808080"/>
    </w:rPr>
  </w:style>
  <w:style w:type="character" w:styleId="CharChar14">
    <w:name w:val=" Char Char14"/>
    <w:qFormat/>
    <w:rPr>
      <w:rFonts w:ascii="Consolas" w:hAnsi="Consolas" w:cs="David"/>
      <w:sz w:val="21"/>
      <w:szCs w:val="21"/>
      <w:lang w:val="en-US" w:bidi="he-IL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3">
    <w:name w:val=" Char Char33"/>
    <w:qFormat/>
    <w:rPr>
      <w:rFonts w:ascii="Cambria" w:hAnsi="Cambria" w:cs="Cambria"/>
      <w:color w:val="365F91"/>
      <w:sz w:val="26"/>
      <w:szCs w:val="26"/>
      <w:lang w:val="en-US" w:bidi="he-IL"/>
    </w:rPr>
  </w:style>
  <w:style w:type="character" w:styleId="CharChar32">
    <w:name w:val=" Char Char32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CharChar30">
    <w:name w:val=" Char Char30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CharChar29">
    <w:name w:val=" Char Char29"/>
    <w:qFormat/>
    <w:rPr>
      <w:rFonts w:ascii="Cambria" w:hAnsi="Cambria" w:cs="Cambria"/>
      <w:i/>
      <w:iCs/>
      <w:color w:val="243F60"/>
      <w:sz w:val="24"/>
      <w:szCs w:val="24"/>
      <w:lang w:val="en-US" w:bidi="he-IL"/>
    </w:rPr>
  </w:style>
  <w:style w:type="character" w:styleId="CharChar28">
    <w:name w:val=" Char Char28"/>
    <w:qFormat/>
    <w:rPr>
      <w:rFonts w:ascii="Cambria" w:hAnsi="Cambria" w:cs="Cambria"/>
      <w:color w:val="272727"/>
      <w:sz w:val="21"/>
      <w:szCs w:val="21"/>
      <w:lang w:val="en-US" w:bidi="he-IL"/>
    </w:rPr>
  </w:style>
  <w:style w:type="character" w:styleId="CharChar27">
    <w:name w:val=" Char Char27"/>
    <w:qFormat/>
    <w:rPr>
      <w:rFonts w:ascii="Cambria" w:hAnsi="Cambria" w:cs="Cambria"/>
      <w:i/>
      <w:iCs/>
      <w:color w:val="272727"/>
      <w:sz w:val="21"/>
      <w:szCs w:val="21"/>
      <w:lang w:val="en-US" w:bidi="he-IL"/>
    </w:rPr>
  </w:style>
  <w:style w:type="character" w:styleId="CharChar13">
    <w:name w:val=" Char Char13"/>
    <w:qFormat/>
    <w:rPr>
      <w:rFonts w:cs="David"/>
      <w:sz w:val="24"/>
      <w:szCs w:val="24"/>
      <w:lang w:val="en-US" w:bidi="he-IL"/>
    </w:rPr>
  </w:style>
  <w:style w:type="character" w:styleId="CharChar12">
    <w:name w:val=" Char Char12"/>
    <w:qFormat/>
    <w:rPr>
      <w:rFonts w:ascii="Cambria" w:hAnsi="Cambria" w:cs="Cambria"/>
      <w:spacing w:val="-10"/>
      <w:kern w:val="2"/>
      <w:sz w:val="56"/>
      <w:szCs w:val="56"/>
      <w:lang w:val="en-US" w:bidi="he-IL"/>
    </w:rPr>
  </w:style>
  <w:style w:type="character" w:styleId="CharChar11">
    <w:name w:val=" Char Char11"/>
    <w:qFormat/>
    <w:rPr>
      <w:rFonts w:ascii="Calibri" w:hAnsi="Calibri" w:cs="Arial"/>
      <w:color w:val="5A5A5A"/>
      <w:spacing w:val="15"/>
      <w:sz w:val="22"/>
      <w:szCs w:val="22"/>
      <w:lang w:val="en-US" w:bidi="he-IL"/>
    </w:rPr>
  </w:style>
  <w:style w:type="character" w:styleId="CharChar10">
    <w:name w:val=" Char Char10"/>
    <w:qFormat/>
    <w:rPr>
      <w:rFonts w:ascii="Cambria" w:hAnsi="Cambria" w:cs="Cambria"/>
      <w:sz w:val="24"/>
      <w:szCs w:val="24"/>
      <w:lang w:val="en-US" w:bidi="he-IL"/>
    </w:rPr>
  </w:style>
  <w:style w:type="character" w:styleId="CharChar9">
    <w:name w:val=" Char Char9"/>
    <w:qFormat/>
    <w:rPr>
      <w:rFonts w:cs="David"/>
      <w:sz w:val="24"/>
      <w:szCs w:val="24"/>
      <w:lang w:val="en-US" w:bidi="he-IL"/>
    </w:rPr>
  </w:style>
  <w:style w:type="character" w:styleId="CharChar8">
    <w:name w:val=" Char Char8"/>
    <w:qFormat/>
    <w:rPr>
      <w:rFonts w:cs="David"/>
      <w:sz w:val="24"/>
      <w:szCs w:val="24"/>
      <w:lang w:val="en-US" w:bidi="he-IL"/>
    </w:rPr>
  </w:style>
  <w:style w:type="character" w:styleId="CharChar7">
    <w:name w:val=" Char Char7"/>
    <w:qFormat/>
    <w:rPr>
      <w:rFonts w:cs="David"/>
      <w:sz w:val="16"/>
      <w:szCs w:val="16"/>
      <w:lang w:val="en-US" w:bidi="he-IL"/>
    </w:rPr>
  </w:style>
  <w:style w:type="character" w:styleId="CharChar6">
    <w:name w:val=" Char Char6"/>
    <w:qFormat/>
    <w:rPr>
      <w:rFonts w:cs="David"/>
      <w:sz w:val="24"/>
      <w:szCs w:val="24"/>
      <w:lang w:val="en-US" w:bidi="he-IL"/>
    </w:rPr>
  </w:style>
  <w:style w:type="character" w:styleId="CharChar5">
    <w:name w:val=" Char Char5"/>
    <w:qFormat/>
    <w:rPr>
      <w:rFonts w:cs="David"/>
      <w:sz w:val="24"/>
      <w:szCs w:val="24"/>
      <w:lang w:val="en-US" w:bidi="he-IL"/>
    </w:rPr>
  </w:style>
  <w:style w:type="character" w:styleId="CharChar4">
    <w:name w:val=" Char Char4"/>
    <w:qFormat/>
    <w:rPr>
      <w:rFonts w:cs="David"/>
      <w:i/>
      <w:iCs/>
      <w:sz w:val="24"/>
      <w:szCs w:val="24"/>
      <w:lang w:val="en-US" w:bidi="he-IL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CharChar3">
    <w:name w:val=" Char Char3"/>
    <w:qFormat/>
    <w:rPr>
      <w:rFonts w:ascii="Tahoma" w:hAnsi="Tahoma" w:cs="Tahoma"/>
      <w:sz w:val="16"/>
      <w:szCs w:val="16"/>
      <w:lang w:val="en-US" w:bidi="he-IL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b/>
      <w:bCs/>
      <w:lang w:val="en-US" w:bidi="he-IL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  <w:lang w:val="en-US" w:bidi="he-IL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  <w:lang w:val="en-US" w:bidi="he-IL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CharChar26">
    <w:name w:val=" Char Char26"/>
    <w:qFormat/>
    <w:rPr>
      <w:rFonts w:cs="David"/>
      <w:sz w:val="24"/>
      <w:szCs w:val="24"/>
      <w:lang w:val="en-US" w:bidi="he-IL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lang w:bidi="he-IL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cs="Times New Roman"/>
    </w:rPr>
  </w:style>
  <w:style w:type="paragraph" w:styleId="EnvelopeReturn">
    <w:name w:val="envelope return"/>
    <w:basedOn w:val="Normal"/>
    <w:pPr/>
    <w:rPr>
      <w:rFonts w:ascii="Cambria" w:hAnsi="Cambria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0"/>
      <w:lang w:val="en-US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3"/>
      </w:numPr>
      <w:ind w:hanging="720" w:start="1080" w:end="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i.a.2" TargetMode="External"/><Relationship Id="rId8" Type="http://schemas.openxmlformats.org/officeDocument/2006/relationships/hyperlink" Target="http://www.nevo.co.il/law/70301/58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c.1" TargetMode="External"/><Relationship Id="rId12" Type="http://schemas.openxmlformats.org/officeDocument/2006/relationships/hyperlink" Target="http://www.nevo.co.il/law/70301/273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/iCcS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c.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c.1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75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c.1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75" TargetMode="External"/><Relationship Id="rId32" Type="http://schemas.openxmlformats.org/officeDocument/2006/relationships/hyperlink" Target="http://www.nevo.co.il/law/70301/273" TargetMode="External"/><Relationship Id="rId33" Type="http://schemas.openxmlformats.org/officeDocument/2006/relationships/hyperlink" Target="http://www.nevo.co.il/law/70301/40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7807298" TargetMode="External"/><Relationship Id="rId38" Type="http://schemas.openxmlformats.org/officeDocument/2006/relationships/hyperlink" Target="http://www.nevo.co.il/case/5723807" TargetMode="External"/><Relationship Id="rId39" Type="http://schemas.openxmlformats.org/officeDocument/2006/relationships/hyperlink" Target="http://www.nevo.co.il/case/17939545" TargetMode="External"/><Relationship Id="rId40" Type="http://schemas.openxmlformats.org/officeDocument/2006/relationships/hyperlink" Target="http://www.nevo.co.il/case/10485615" TargetMode="External"/><Relationship Id="rId41" Type="http://schemas.openxmlformats.org/officeDocument/2006/relationships/hyperlink" Target="http://www.nevo.co.il/case/5852404" TargetMode="External"/><Relationship Id="rId42" Type="http://schemas.openxmlformats.org/officeDocument/2006/relationships/hyperlink" Target="http://www.nevo.co.il/case/7821883" TargetMode="External"/><Relationship Id="rId43" Type="http://schemas.openxmlformats.org/officeDocument/2006/relationships/hyperlink" Target="http://www.nevo.co.il/law/70301/40i.a.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2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11282417" TargetMode="External"/><Relationship Id="rId48" Type="http://schemas.openxmlformats.org/officeDocument/2006/relationships/hyperlink" Target="http://www.nevo.co.il/case/5587527" TargetMode="External"/><Relationship Id="rId49" Type="http://schemas.openxmlformats.org/officeDocument/2006/relationships/hyperlink" Target="http://www.nevo.co.il/case/16944929" TargetMode="External"/><Relationship Id="rId50" Type="http://schemas.openxmlformats.org/officeDocument/2006/relationships/hyperlink" Target="http://www.nevo.co.il/case/5580781" TargetMode="External"/><Relationship Id="rId51" Type="http://schemas.openxmlformats.org/officeDocument/2006/relationships/hyperlink" Target="http://www.nevo.co.il/case/6949290" TargetMode="External"/><Relationship Id="rId52" Type="http://schemas.openxmlformats.org/officeDocument/2006/relationships/hyperlink" Target="http://www.nevo.co.il/case/4552738" TargetMode="External"/><Relationship Id="rId53" Type="http://schemas.openxmlformats.org/officeDocument/2006/relationships/hyperlink" Target="http://www.nevo.co.il/case/4565578" TargetMode="External"/><Relationship Id="rId54" Type="http://schemas.openxmlformats.org/officeDocument/2006/relationships/hyperlink" Target="http://www.nevo.co.il/case/5078180" TargetMode="External"/><Relationship Id="rId55" Type="http://schemas.openxmlformats.org/officeDocument/2006/relationships/hyperlink" Target="http://www.nevo.co.il/case/687125" TargetMode="External"/><Relationship Id="rId56" Type="http://schemas.openxmlformats.org/officeDocument/2006/relationships/hyperlink" Target="http://www.nevo.co.il/case/540835" TargetMode="External"/><Relationship Id="rId57" Type="http://schemas.openxmlformats.org/officeDocument/2006/relationships/hyperlink" Target="http://www.nevo.co.il/case/4551034" TargetMode="External"/><Relationship Id="rId58" Type="http://schemas.openxmlformats.org/officeDocument/2006/relationships/hyperlink" Target="http://www.nevo.co.il/case/7697147" TargetMode="External"/><Relationship Id="rId59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13018437" TargetMode="External"/><Relationship Id="rId62" Type="http://schemas.openxmlformats.org/officeDocument/2006/relationships/hyperlink" Target="http://www.nevo.co.il/law/70301/58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5576705" TargetMode="External"/><Relationship Id="rId65" Type="http://schemas.openxmlformats.org/officeDocument/2006/relationships/hyperlink" Target="http://www.nevo.co.il/case/5920357" TargetMode="External"/><Relationship Id="rId66" Type="http://schemas.openxmlformats.org/officeDocument/2006/relationships/hyperlink" Target="http://www.nevo.co.il/law/70301/144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iCcS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13018437" TargetMode="External"/><Relationship Id="rId71" Type="http://schemas.openxmlformats.org/officeDocument/2006/relationships/hyperlink" Target="http://www.nevo.co.il/case/11341191" TargetMode="External"/><Relationship Id="rId72" Type="http://schemas.openxmlformats.org/officeDocument/2006/relationships/hyperlink" Target="http://www.nevo.co.il/law/70301/144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iCcS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4877534" TargetMode="External"/><Relationship Id="rId77" Type="http://schemas.openxmlformats.org/officeDocument/2006/relationships/hyperlink" Target="http://www.nevo.co.il/case/18826096" TargetMode="External"/><Relationship Id="rId78" Type="http://schemas.openxmlformats.org/officeDocument/2006/relationships/hyperlink" Target="http://www.nevo.co.il/law/70301/144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iCcS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advertisements/nevo-100.doc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2016-12-01T14:56:00Z</dcterms:created>
  <dc:creator> </dc:creator>
  <dc:description/>
  <cp:keywords/>
  <dc:language>en-IL</dc:language>
  <cp:lastModifiedBy>run</cp:lastModifiedBy>
  <dcterms:modified xsi:type="dcterms:W3CDTF">2016-12-01T14:56:00Z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חיפה -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ג'לאל פראג';שמואל הרוש;יוסף עשור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7807298;5723807;17939545;10485615;5852404;7821883;11282417;5587527;16944929;5580781;6949290;4552738;4565578;5078180;687125;540835;4551034;7697147;13018437:2;5576705;5920357;11341191;4877534;18826096</vt:lpwstr>
  </property>
  <property fmtid="{D5CDD505-2E9C-101B-9397-08002B2CF9AE}" pid="9" name="CITY">
    <vt:lpwstr>קריות</vt:lpwstr>
  </property>
  <property fmtid="{D5CDD505-2E9C-101B-9397-08002B2CF9AE}" pid="10" name="DATE">
    <vt:lpwstr>20160509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עלי</vt:lpwstr>
  </property>
  <property fmtid="{D5CDD505-2E9C-101B-9397-08002B2CF9AE}" pid="14" name="LAWLISTTMP1">
    <vt:lpwstr>70301/144.a:3;144.c.1:3;029;275:3;031:2;273;040c;40jc;040i.a.2;032;40ja;058;144:3;iCcS:3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9687</vt:lpwstr>
  </property>
  <property fmtid="{D5CDD505-2E9C-101B-9397-08002B2CF9AE}" pid="22" name="NEWPARTB">
    <vt:lpwstr>03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380020160509</vt:lpwstr>
  </property>
  <property fmtid="{D5CDD505-2E9C-101B-9397-08002B2CF9AE}" pid="34" name="TYPE_N_DATE">
    <vt:lpwstr>38020160509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