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9873-06-23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רחלי אטיאס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עימאד אבו כף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VC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מוטי יוסף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>)-</w:t>
      </w:r>
      <w:r>
        <w:rPr>
          <w:rFonts w:ascii="David" w:hAnsi="David"/>
          <w:rtl w:val="true"/>
        </w:rPr>
        <w:t xml:space="preserve">עבירות לפי סעיף </w:t>
      </w:r>
      <w:hyperlink r:id="rId5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כנוסחו דאז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כתב האישום המתוקן והסדר הטיעון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כתב האישום המתוקן ובמספר מועדים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בצוותא עם בן משפחתו עבדאללה אבו כף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סחרו בחלקי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חלקים של רובים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עם תושב חברון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והצדדים עתרו במשותף להטיל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הפעלת מאסר על תנאי מ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27929-03-19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חציו במצטבר וחציו בחופף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ירצה הנאשם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 על תנאי לשיקול דעת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פסילה מלקבל או להחזיק ברישיון נהיגה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המאשימה </w:t>
      </w:r>
      <w:r>
        <w:rPr>
          <w:rFonts w:ascii="David" w:hAnsi="David"/>
          <w:rtl w:val="true"/>
        </w:rPr>
        <w:t>ביקשה לכבד את הסדר הטיעון שהנו ראוי ומשכלל בתוכו את הקשיים הראייתיים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 אחריות מצד הנאשם והחיסכון בזמן השיפוטי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כתב האישום המתוקן מגולל מסכת של פעילות אקטיבית בסחר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כשלחובת הנאשם מאסר על תנאי מתיק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27929-03-19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הפנתה לעברו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הכולל הרשעות רלוונטיות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לעניין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כי ישולם בתשלום אחד ומיד לאחר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ולעניין הפסילה ביקשה כי תהא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מרתיעה ולתקופה ארוכה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הנאשם </w:t>
      </w:r>
      <w:r>
        <w:rPr>
          <w:rFonts w:ascii="David" w:hAnsi="David"/>
          <w:rtl w:val="true"/>
        </w:rPr>
        <w:t>ביקש לכבד את הסדר הטיעון שהנו ראוי וסביר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שהפנה לתיקון המשמעותי שבוצע בכתב האישום המתוקן נוכח קשיים ראייתיים משמעותיים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לעניין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הסניגור ביקש כי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כאשר התשלום הראשון ישולם שישה חודשים לאחר 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כפי שנגזר על בן משפחתו של הנאשם בתיק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הראי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-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10091-06-23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התיק האחר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הפסילה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הסניגור כי זו תהא מינימלית בין </w:t>
      </w:r>
      <w:r>
        <w:rPr>
          <w:rFonts w:cs="David" w:ascii="David" w:hAnsi="David"/>
        </w:rPr>
        <w:t>30-60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שתשכלל את חלקו של הנאשם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 כי על בן משפחתו של הנאשם נגזרו בתיק האחר שישה חודשי 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זה שנהג ברכב במהלך ביצוע העבירות והרכב היה שייך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מחלוקת כי הנאשם בענייננו לא נהג ברכב ומשכך תקופת הפסילה צריכה להיות קצרה משמעותית מזו שהוטלה על בן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שהוא מצטער על מה שעשה ומבקש לצאת מהאגף בו הוא נמצא כדי שיוכל לעבור 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החליט שהוא פותח בדרך 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משפחתו חיה מביטוח לאומי וביקש כי תקופת הפסילה תהיה קצרה כדי שיוכל להתפרנס לאחר שחרורו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רלוונטי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על מעשיו וחסך מזמנו של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 צודקת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כתב האישום מגולל מסכת של פעילות אקטיבית ממושכת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ודומה כי נוכח עברו הרלוונטי של הנאשם היה מקום להחמיר בעונשו ברכיב המאסר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גם המאסר הממושך והמותנה שנגזר על הנאשם ביום </w:t>
      </w:r>
      <w:r>
        <w:rPr>
          <w:rFonts w:cs="David" w:ascii="David" w:hAnsi="David"/>
        </w:rPr>
        <w:t>22.12.19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27929-03-19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לא הרתיעו מלשוב תוך זמן קצר לאחר מתן גזר הדין ולבצע עבירות נוספות בתחום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וניכר כי הפך את העיסוק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למקור פרנסה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ששמעתי טיעוני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שלא לחרוג מהסדר הטיעון בהינתן מדיניות בתי המשפט הנוגעת לכיבוד הסדרי טיעון ובשים לב לגזר הדין שהוטל על בן משפחתו של הנאשם בתיק האחר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לעבות הענישה באמצעות רכיב המאסר המותנה וזאת כדי להרתיע הנאשם מביצוע עבירות דומות בעתיד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חלוקים ביחס לפריסת הקנס ומועד תשלומו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ולעניין זה צודק הסניגור כי יש מקום להשוות בין הנאשם לבין בן משפחתו בתיק האחר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באשר למחלוקת ביחס לרכיב הפסילה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שהנאשם לא נהג ברכב אך ביקש להפיק תועלת שלילית מהשימוש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לפסול רישיונו לתקופה שמשכה מחצית מתקופת הפסילה שנגזרה על בן משפחתו בתיק האחר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מטיל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הנני מפעיל מאסר על תנאי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מתיק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27929-03-19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חציו במצטבר וחציו בחופף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ירצה הנאשם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 למשך שלוש 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עבירה בנשק 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חלופותיו השונות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התשלום הראשון ישולם בתוך שישה חודשים מהיום ויתר התשלומים מידי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לאחר מכן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הנני פוסל את הנאשם מלקבל או מלהחזיק רישיון נהיגה וזאת לתקופה של שלושה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פסילתו של הנאשם תחל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שבחישוב תקופת הפסילה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תובא בחשבון תקופת המאסר שנגזרה על הנאשם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הנאשם לבצע הפקדה מידית של רישיון נהיגתו במזכירות בית המשפט לצורך תחילת מניין תקופת הפסילה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בכרטיס אשראי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David" w:ascii="David" w:hAnsi="David"/>
            <w:sz w:val="24"/>
            <w:szCs w:val="24"/>
          </w:rPr>
          <w:t>www.eca.gov.il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מרכז 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 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b/>
          <w:bCs/>
          <w:sz w:val="24"/>
          <w:szCs w:val="24"/>
        </w:rPr>
        <w:t>35592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*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4"/>
          <w:szCs w:val="24"/>
        </w:rPr>
        <w:t>073-2055000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במזומן בכל סניף של בנק הדואר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בהצגת תעודת זהות בלבד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אין צורך בשוברי תשלום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9873-06-23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עימאד אבו כף 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cs="David" w:ascii="David" w:hAnsi="David"/>
        <w:color w:val="000000"/>
        <w:sz w:val="22"/>
        <w:szCs w:val="22"/>
      </w:rPr>
      <w:t>VC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stParagraphChar">
    <w:name w:val="List Paragraph Char"/>
    <w:qFormat/>
    <w:rPr>
      <w:rFonts w:ascii="Calibri" w:hAnsi="Calibri" w:cs="Calibri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Calibri" w:cs="Calibri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531022" TargetMode="External"/><Relationship Id="rId8" Type="http://schemas.openxmlformats.org/officeDocument/2006/relationships/hyperlink" Target="http://www.nevo.co.il/case/25531022" TargetMode="External"/><Relationship Id="rId9" Type="http://schemas.openxmlformats.org/officeDocument/2006/relationships/hyperlink" Target="http://www.nevo.co.il/case/29721837" TargetMode="External"/><Relationship Id="rId10" Type="http://schemas.openxmlformats.org/officeDocument/2006/relationships/hyperlink" Target="http://www.nevo.co.il/case/25531022" TargetMode="External"/><Relationship Id="rId11" Type="http://schemas.openxmlformats.org/officeDocument/2006/relationships/hyperlink" Target="http://www.nevo.co.il/case/25531022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eca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2024-02-18T14:03:00Z</dcterms:created>
  <dc:creator> </dc:creator>
  <dc:description/>
  <cp:keywords/>
  <dc:language>en-IL</dc:language>
  <cp:lastModifiedBy>h1</cp:lastModifiedBy>
  <dcterms:modified xsi:type="dcterms:W3CDTF">2024-02-18T14:03:00Z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עימאד אבו כף -VC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25531022:4;29721837</vt:lpwstr>
  </property>
  <property fmtid="{D5CDD505-2E9C-101B-9397-08002B2CF9AE}" pid="9" name="CITY">
    <vt:lpwstr>ב"ש</vt:lpwstr>
  </property>
  <property fmtid="{D5CDD505-2E9C-101B-9397-08002B2CF9AE}" pid="10" name="DATE">
    <vt:lpwstr>20240215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70301/144.b2;144</vt:lpwstr>
  </property>
  <property fmtid="{D5CDD505-2E9C-101B-9397-08002B2CF9AE}" pid="15" name="LAWYER">
    <vt:lpwstr>רחלי אטיאס;מוטי יוסף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9873</vt:lpwstr>
  </property>
  <property fmtid="{D5CDD505-2E9C-101B-9397-08002B2CF9AE}" pid="22" name="NEWPARTB">
    <vt:lpwstr>06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390020240215</vt:lpwstr>
  </property>
  <property fmtid="{D5CDD505-2E9C-101B-9397-08002B2CF9AE}" pid="34" name="TYPE_N_DATE">
    <vt:lpwstr>39020240215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