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9968-05-16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סמרי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בדיון בפניי ביום </w:t>
      </w:r>
      <w:r>
        <w:rPr>
          <w:rFonts w:cs="Arial" w:ascii="Arial" w:hAnsi="Arial"/>
        </w:rPr>
        <w:t>9/6/16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הנאשם בעובדות כתב האישום בתיק זה ובד בבד הורשע בעבירה של החזקת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11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תשובתו לכתב האישום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בדיון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כי נשא את הנשק לפרק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מטרת ביצוע העבירה הייתה לצורך ירי מספר ימים לאחר מכן בחתונת חברו הטוב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הסגיר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הנאשם לא פתח את התיק ובו הנשק ולא נגע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שאין ראיות המוכיחות מגע של הנאשם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בתגובה לטענות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אישרה כי הנאשם אכן טען בחקירתו במשטרה כי הנשק הוחזק לצורך ירי בחתונה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הבהירה כי אינה מקבלת את הטענה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אין לה אינדיקציה בדבר המרחק בין הבית ממנו נשא הנאשם את הנשק לבית אליו הגיע עם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כי מדובר בבתים המצויים באותו כפר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לאי פתיחת התיק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הראיות בעניין זה אינן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משמעיות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לבקשת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הדיון במועד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קבלת תסקיר שרות המבחן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כעת לאחר קבלת התסקיר והשלמת הליך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שנותר הוא לגזור את דינו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  <w:t>האישום</w:t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מהדי</w:t>
      </w:r>
      <w:r>
        <w:rPr>
          <w:rtl w:val="true"/>
        </w:rPr>
        <w:t xml:space="preserve">),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סמיר</w:t>
      </w:r>
      <w:r>
        <w:rPr>
          <w:rtl w:val="true"/>
        </w:rPr>
        <w:t xml:space="preserve">),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 xml:space="preserve">. </w:t>
      </w:r>
      <w:bookmarkStart w:id="7" w:name="ABSTRACT_START"/>
      <w:bookmarkEnd w:id="7"/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בברטעה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/>
        <w:t>41814</w:t>
      </w:r>
      <w:r>
        <w:rPr>
          <w:rtl w:val="true"/>
        </w:rPr>
        <w:t xml:space="preserve"> 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8" w:name="ABSTRACT_END"/>
      <w:bookmarkEnd w:id="8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19.4.16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למהדי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19.4.16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המסתור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בהיחבא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22.4.16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כשהמחסנית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וטראומטי</w:t>
      </w:r>
      <w:r>
        <w:rPr>
          <w:rtl w:val="true"/>
        </w:rPr>
        <w:t xml:space="preserve">,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13.12.16</w:t>
      </w:r>
      <w:r>
        <w:rPr>
          <w:rtl w:val="true"/>
        </w:rPr>
        <w:t xml:space="preserve">,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20.12.16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27.12.16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16.1.17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- 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-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</w:t>
      </w:r>
      <w:r>
        <w:rPr>
          <w:rtl w:val="true"/>
        </w:rPr>
        <w:t xml:space="preserve">)- 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13.12.16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וטיעוניה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רשיד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רשיד</w:t>
      </w:r>
      <w:r>
        <w:rPr>
          <w:rtl w:val="true"/>
        </w:rPr>
        <w:t xml:space="preserve">). </w:t>
      </w:r>
      <w:r>
        <w:rPr>
          <w:rtl w:val="true"/>
        </w:rPr>
        <w:t>רשיד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רשיד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Fonts w:cs="Miriam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134" w:end="1701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מתנצל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ותלויה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ובאחיות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לחתונה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נפטר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השתמשתי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כשהמשטרה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הזזתי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שהנחתי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נשאר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134" w:end="1418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1134" w:end="1418"/>
        <w:jc w:val="both"/>
        <w:rPr/>
      </w:pP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1134" w:end="1418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18.11.2007</w:t>
      </w:r>
      <w:r>
        <w:rPr>
          <w:rtl w:val="true"/>
        </w:rPr>
        <w:t xml:space="preserve">):  </w:t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1134" w:end="1701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מפוקפק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סואנים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ממושכת</w:t>
      </w:r>
      <w:r>
        <w:rPr>
          <w:rFonts w:cs="Miriam"/>
          <w:rtl w:val="true"/>
        </w:rPr>
        <w:t>"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35007-04-13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עזאיזה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08.01.15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")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אביעוז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11.12.16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1.10.13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2011/06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07.03.06</w:t>
      </w:r>
      <w:r>
        <w:rPr>
          <w:rtl w:val="true"/>
        </w:rPr>
        <w:t xml:space="preserve">),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ומאסופת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המעורב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).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16.11.16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9983-05-16</w:t>
        </w:r>
      </w:hyperlink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 xml:space="preserve">        </w:t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22.4.16</w:t>
      </w:r>
      <w:r>
        <w:rPr>
          <w:rtl w:val="true"/>
        </w:rPr>
        <w:t>.-</w:t>
      </w:r>
      <w:r>
        <w:rPr/>
        <w:t>4.5.16</w:t>
      </w:r>
      <w:r>
        <w:rPr>
          <w:rtl w:val="true"/>
        </w:rPr>
        <w:t xml:space="preserve">).  </w:t>
      </w:r>
    </w:p>
    <w:p>
      <w:pPr>
        <w:pStyle w:val="ListParagraph"/>
        <w:spacing w:lineRule="auto" w:line="360"/>
        <w:ind w:start="778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 xml:space="preserve">   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מירב 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בר עוז ועו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חאג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9968-05-16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סמרי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78" w:hanging="360"/>
      </w:pPr>
      <w:rPr>
        <w:rFonts w:ascii="Symbol" w:hAnsi="Symbol" w:cs="Symbol" w:hint="default"/>
      </w:rPr>
    </w:lvl>
  </w:abstractNum>
  <w:abstractNum w:abstractNumId="2">
    <w:lvl w:ilvl="0">
      <w:start w:val="2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case/6243627" TargetMode="External"/><Relationship Id="rId16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6034921" TargetMode="External"/><Relationship Id="rId22" Type="http://schemas.openxmlformats.org/officeDocument/2006/relationships/hyperlink" Target="http://www.nevo.co.il/case/7878510" TargetMode="External"/><Relationship Id="rId23" Type="http://schemas.openxmlformats.org/officeDocument/2006/relationships/hyperlink" Target="http://www.nevo.co.il/case/6864329" TargetMode="External"/><Relationship Id="rId24" Type="http://schemas.openxmlformats.org/officeDocument/2006/relationships/hyperlink" Target="http://www.nevo.co.il/case/7840699" TargetMode="External"/><Relationship Id="rId25" Type="http://schemas.openxmlformats.org/officeDocument/2006/relationships/hyperlink" Target="http://www.nevo.co.il/case/491626" TargetMode="External"/><Relationship Id="rId26" Type="http://schemas.openxmlformats.org/officeDocument/2006/relationships/hyperlink" Target="http://www.nevo.co.il/case/21659433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2018-02-27T17:24:00Z</dcterms:created>
  <dc:creator> </dc:creator>
  <dc:description/>
  <cp:keywords/>
  <dc:language>en-IL</dc:language>
  <cp:lastModifiedBy>run</cp:lastModifiedBy>
  <dcterms:modified xsi:type="dcterms:W3CDTF">2018-02-27T17:24:00Z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סמרי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6243627;5601503;6034921;7878510;6864329;7840699;491626;21659433</vt:lpwstr>
  </property>
  <property fmtid="{D5CDD505-2E9C-101B-9397-08002B2CF9AE}" pid="9" name="CITY">
    <vt:lpwstr>חי'</vt:lpwstr>
  </property>
  <property fmtid="{D5CDD505-2E9C-101B-9397-08002B2CF9AE}" pid="10" name="DATE">
    <vt:lpwstr>20170130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70301/144.a;144.b;040b;040c;040i;40ja;144:2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9968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390020170130</vt:lpwstr>
  </property>
  <property fmtid="{D5CDD505-2E9C-101B-9397-08002B2CF9AE}" pid="34" name="TYPE_N_DATE">
    <vt:lpwstr>39020170130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