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12476-07-09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לתכנון ובנייה רמלה מחוז 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אלחלוואה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לתכנון ובנייה רמלה מחוז מרכז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סמיה אבו אלחלוואה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באסם אבן אלחלוואה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סופי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ויטלם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וואחילי ממשרדו של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חסונה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נאשמים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1"/>
        <w:tabs>
          <w:tab w:val="left" w:pos="720" w:leader="none"/>
        </w:tabs>
        <w:ind w:end="0"/>
        <w:jc w:val="both"/>
        <w:rPr/>
      </w:pPr>
      <w:r>
        <w:rPr>
          <w:rtl w:val="true"/>
        </w:rPr>
        <w:t>הנאשמים הורשעו על פי הודאתם בעבירה של בנייה במקרקעין ללא היתר</w:t>
      </w:r>
      <w:r>
        <w:rPr>
          <w:rtl w:val="true"/>
        </w:rPr>
        <w:t xml:space="preserve">.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הנאשמים עברו עבירה של בניה ללא היתר בהיקף של כ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 בחזית האחורית של מבנה קיים</w:t>
      </w:r>
      <w:r>
        <w:rPr>
          <w:rtl w:val="true"/>
        </w:rPr>
        <w:t xml:space="preserve">. </w:t>
      </w:r>
      <w:r>
        <w:rPr>
          <w:rtl w:val="true"/>
        </w:rPr>
        <w:t xml:space="preserve">עוד הורשעה 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בעבירה של אי קיום צו הפסקה מנהלי שהוטל עליה ביום </w:t>
      </w:r>
      <w:r>
        <w:rPr/>
        <w:t>17.11.07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</w:tabs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הדגישה את חומרת העבירות ואת העובדה שהענישה הנהוגה היא מרתיעה וכבדה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הנאשמים ידעו על הצורך בהיתר ונהגו בחוסר תום לב</w:t>
      </w:r>
      <w:r>
        <w:rPr>
          <w:rtl w:val="true"/>
        </w:rPr>
        <w:t xml:space="preserve">, </w:t>
      </w:r>
      <w:r>
        <w:rPr>
          <w:rtl w:val="true"/>
        </w:rPr>
        <w:t>ולא נראה כי ההליכים לקבלת ההיתר קרובים לקיצם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גם לאחר הוצאת הצו</w:t>
      </w:r>
      <w:r>
        <w:rPr>
          <w:rtl w:val="true"/>
        </w:rPr>
        <w:t xml:space="preserve">, </w:t>
      </w:r>
      <w:r>
        <w:rPr>
          <w:rtl w:val="true"/>
        </w:rPr>
        <w:t xml:space="preserve">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המשיכה בבנייה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עותרת המאשימה לקנס כספי גבוה ומרתיע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</w:tabs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עותר להטלת עונש מידתי ומבקש מבית המשפט לשקול לקולא את העובדה כי מדובר בעבירה ראשונה של בני זוג צעירים</w:t>
      </w:r>
      <w:r>
        <w:rPr>
          <w:rtl w:val="true"/>
        </w:rPr>
        <w:t xml:space="preserve">, </w:t>
      </w:r>
      <w:r>
        <w:rPr>
          <w:rtl w:val="true"/>
        </w:rPr>
        <w:t>הורים 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 קטנים</w:t>
      </w:r>
      <w:r>
        <w:rPr>
          <w:rtl w:val="true"/>
        </w:rPr>
        <w:t xml:space="preserve">, </w:t>
      </w:r>
      <w:r>
        <w:rPr>
          <w:rtl w:val="true"/>
        </w:rPr>
        <w:t>כאשר האב הוא המפרנס היחיד</w:t>
      </w:r>
      <w:r>
        <w:rPr>
          <w:rtl w:val="true"/>
        </w:rPr>
        <w:t xml:space="preserve">. </w:t>
      </w:r>
      <w:r>
        <w:rPr>
          <w:rtl w:val="true"/>
        </w:rPr>
        <w:t>עוד ביקש להתחשב בכך שהנאשמים פועלים להכשרת הבניה אשר נעשתה כתוספת לשטח שלהם והדגיש כי הנאשמים הודו והביעו חרטה על העבירות שביצעו וחסכו מזמנו  של 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54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540"/>
        <w:jc w:val="start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עבירות על חוקי התכנון והבנייה הן עבירות חמורות שהפכו למכת מדינה</w:t>
      </w:r>
      <w:r>
        <w:rPr>
          <w:rtl w:val="true"/>
        </w:rPr>
        <w:t xml:space="preserve">, </w:t>
      </w:r>
      <w:r>
        <w:rPr>
          <w:rtl w:val="true"/>
        </w:rPr>
        <w:t>כאשר בתי המשפט קבעו כי יש להטיל בגין עבירות אלה ענישה מחמירה אשר תפגע בכדאיות הכלכלית של מי שעובר אותן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540"/>
        <w:jc w:val="start"/>
        <w:rPr/>
      </w:pPr>
      <w:r>
        <w:rPr>
          <w:rtl w:val="true"/>
        </w:rPr>
        <w:t>במקרה זה קיימת חומרה נוספת</w:t>
      </w:r>
      <w:r>
        <w:rPr>
          <w:rtl w:val="true"/>
        </w:rPr>
        <w:t xml:space="preserve">, </w:t>
      </w:r>
      <w:r>
        <w:rPr>
          <w:rtl w:val="true"/>
        </w:rPr>
        <w:t xml:space="preserve">שכן הנאשמת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 התעלמה מצו ההפסקה המנהלי שהוטל עליה והמשיכה בעבודות הבניה</w:t>
      </w:r>
      <w:r>
        <w:rPr>
          <w:rtl w:val="true"/>
        </w:rPr>
        <w:t xml:space="preserve">. </w:t>
      </w:r>
      <w:r>
        <w:rPr>
          <w:rtl w:val="true"/>
        </w:rPr>
        <w:t>בהתנהגותה זו הפגינה הנאשמת זלזול וחוסר אכפתיות כלפי החלטה שניתנה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540"/>
        <w:jc w:val="start"/>
        <w:rPr/>
      </w:pPr>
      <w:r>
        <w:rPr>
          <w:rtl w:val="true"/>
        </w:rPr>
        <w:t>יפים לעניין זה דברי כב</w:t>
      </w:r>
      <w:r>
        <w:rPr>
          <w:rtl w:val="true"/>
        </w:rPr>
        <w:t xml:space="preserve">' </w:t>
      </w:r>
      <w:r>
        <w:rPr>
          <w:rtl w:val="true"/>
        </w:rPr>
        <w:t>השופטת טלמור מבית משפט השלום בנתניה</w:t>
      </w:r>
      <w:r>
        <w:rPr>
          <w:rtl w:val="true"/>
        </w:rPr>
        <w:t xml:space="preserve">, </w:t>
      </w:r>
      <w:r>
        <w:rPr>
          <w:rtl w:val="true"/>
        </w:rPr>
        <w:t>בחע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/>
        <w:t>7918-07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עיריית נתניה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עטיאס </w:t>
      </w:r>
      <w:r>
        <w:rPr>
          <w:rtl w:val="true"/>
        </w:rPr>
        <w:t>(</w:t>
      </w:r>
      <w:r>
        <w:rPr>
          <w:rtl w:val="true"/>
        </w:rPr>
        <w:t>פורסם במאגרים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7380" w:leader="none"/>
        </w:tabs>
        <w:spacing w:lineRule="auto" w:line="360"/>
        <w:ind w:start="1260" w:end="1260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התכלית שעמדה כנגד עיני המחוקק בבואו לחוקק את </w:t>
      </w:r>
      <w:hyperlink r:id="rId2">
        <w:r>
          <w:rPr>
            <w:rStyle w:val="Hyperlink"/>
            <w:b/>
            <w:b/>
            <w:bCs/>
            <w:rtl w:val="true"/>
          </w:rPr>
          <w:t>חוק התכנון והבניה</w:t>
        </w:r>
      </w:hyperlink>
      <w:r>
        <w:rPr>
          <w:b/>
          <w:b/>
          <w:bCs/>
          <w:rtl w:val="true"/>
        </w:rPr>
        <w:t xml:space="preserve"> היתה להגן על הציבור מפני עבודות בניה אשר לא תעמודנה בפיקוח הרשויות המופקדות על מתן היתרי הבניה כדין</w:t>
      </w:r>
      <w:r>
        <w:rPr>
          <w:b/>
          <w:bCs/>
          <w:rtl w:val="true"/>
        </w:rPr>
        <w:t>.</w:t>
        <w:br/>
      </w:r>
      <w:r>
        <w:rPr>
          <w:b/>
          <w:b/>
          <w:bCs/>
          <w:rtl w:val="true"/>
        </w:rPr>
        <w:t>רשויות אלו מביאות בחשבון שיקוליהן בין השאר נושאי בטיחות בתחומים 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כגון בטיחות מבנים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בטיחות בניה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הוראות הג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מכבי אש וכיוצ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ב דרישות אשר עמדו בפני המחוקק בבואו לחוקק את </w:t>
      </w:r>
      <w:hyperlink r:id="rId3">
        <w:r>
          <w:rPr>
            <w:rStyle w:val="Hyperlink"/>
            <w:b/>
            <w:b/>
            <w:bCs/>
            <w:rtl w:val="true"/>
          </w:rPr>
          <w:t>חוק התכנון והבניה</w:t>
        </w:r>
      </w:hyperlink>
      <w:r>
        <w:rPr>
          <w:b/>
          <w:b/>
          <w:bCs/>
          <w:rtl w:val="true"/>
        </w:rPr>
        <w:t xml:space="preserve"> והתקנות על פיו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על מנת להגן על ביטחון הציבור ורכושו ולמנוע סיכון חיי אדם</w:t>
      </w:r>
      <w:r>
        <w:rPr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7380" w:leader="none"/>
        </w:tabs>
        <w:spacing w:lineRule="auto" w:line="360"/>
        <w:ind w:start="1260" w:end="1260"/>
        <w:jc w:val="start"/>
        <w:rPr>
          <w:b/>
          <w:bCs/>
        </w:rPr>
      </w:pPr>
      <w:r>
        <w:rPr>
          <w:b/>
          <w:b/>
          <w:bCs/>
          <w:rtl w:val="true"/>
        </w:rPr>
        <w:t>לא זו אף זו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לא אחת נקבעה בפסיקה חומרתה של העבירה שעניינה אי קיום צו הפסקה מנהלי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אינטרס הציבור הגובר על פני כל אינטרס של הפרט דורש קיומם של צווי הפסקה מנהליים</w:t>
      </w:r>
      <w:r>
        <w:rPr>
          <w:b/>
          <w:bCs/>
          <w:rtl w:val="true"/>
        </w:rPr>
        <w:t xml:space="preserve">.  </w:t>
      </w:r>
    </w:p>
    <w:p>
      <w:pPr>
        <w:pStyle w:val="Normal"/>
        <w:tabs>
          <w:tab w:val="clear" w:pos="720"/>
          <w:tab w:val="left" w:pos="7380" w:leader="none"/>
        </w:tabs>
        <w:spacing w:lineRule="auto" w:line="360"/>
        <w:ind w:start="1260" w:end="126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בית המשפט אינו יכול ליתן יד לתופעה פסולה זו  שעניינה אי קיום צו הפסקה מנהלי ואי הקפדה על קיום הוראות </w:t>
      </w:r>
      <w:hyperlink r:id="rId4">
        <w:r>
          <w:rPr>
            <w:rStyle w:val="Hyperlink"/>
            <w:b/>
            <w:b/>
            <w:bCs/>
            <w:rtl w:val="true"/>
          </w:rPr>
          <w:t>חוק התכנון והבניה</w:t>
        </w:r>
      </w:hyperlink>
      <w:r>
        <w:rPr>
          <w:b/>
          <w:b/>
          <w:bCs/>
          <w:rtl w:val="true"/>
        </w:rPr>
        <w:t xml:space="preserve"> והתקנות על פיו ככתבן וכלשונן</w:t>
      </w:r>
      <w:r>
        <w:rPr>
          <w:b/>
          <w:bCs/>
          <w:rtl w:val="true"/>
        </w:rPr>
        <w:t xml:space="preserve">". 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540"/>
        <w:jc w:val="start"/>
        <w:rPr/>
      </w:pPr>
      <w:r>
        <w:rPr>
          <w:rtl w:val="true"/>
        </w:rPr>
        <w:t>לקולא יש לשקול את הודאתם של הנאשמים בביצוע העבירות</w:t>
      </w:r>
      <w:r>
        <w:rPr>
          <w:rtl w:val="true"/>
        </w:rPr>
        <w:t xml:space="preserve">, </w:t>
      </w:r>
      <w:r>
        <w:rPr>
          <w:rtl w:val="true"/>
        </w:rPr>
        <w:t>את העובדה כי הם פועלים להכשרת הבניה</w:t>
      </w:r>
      <w:r>
        <w:rPr>
          <w:rtl w:val="true"/>
        </w:rPr>
        <w:t xml:space="preserve">, </w:t>
      </w:r>
      <w:r>
        <w:rPr>
          <w:rtl w:val="true"/>
        </w:rPr>
        <w:t>כי הנאשמים הינם בני זוג</w:t>
      </w:r>
      <w:r>
        <w:rPr>
          <w:rtl w:val="true"/>
        </w:rPr>
        <w:t xml:space="preserve">, </w:t>
      </w:r>
      <w:r>
        <w:rPr>
          <w:rtl w:val="true"/>
        </w:rPr>
        <w:t>כי הבניה נעשתה כתוספת לביתם והנאשם המפרנס היחיד 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 קטנים ומוטלת עליו פרנסת 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540"/>
        <w:jc w:val="start"/>
        <w:rPr/>
      </w:pPr>
      <w:r>
        <w:rPr>
          <w:rtl w:val="true"/>
        </w:rPr>
        <w:t>לאחר ששקלתי את השיקולים לחומרה ואת השיקולים לקולא</w:t>
      </w:r>
      <w:r>
        <w:rPr>
          <w:rtl w:val="true"/>
        </w:rPr>
        <w:t xml:space="preserve">, </w:t>
      </w:r>
      <w:r>
        <w:rPr>
          <w:rtl w:val="true"/>
        </w:rPr>
        <w:t>אני גוזרת על הנאשמים את העונשים הבאים</w:t>
      </w:r>
      <w:r>
        <w:rPr>
          <w:rtl w:val="true"/>
        </w:rPr>
        <w:t>:</w:t>
      </w:r>
    </w:p>
    <w:p>
      <w:pPr>
        <w:pStyle w:val="1"/>
        <w:numPr>
          <w:ilvl w:val="0"/>
          <w:numId w:val="1"/>
        </w:numPr>
        <w:ind w:hanging="567" w:start="567" w:end="567"/>
        <w:jc w:val="both"/>
        <w:rPr/>
      </w:pPr>
      <w:r>
        <w:rPr>
          <w:rtl w:val="true"/>
        </w:rPr>
        <w:t>אני מורה לנאשמים להרוס את הבנייה המתוארת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הצו יכנס לתוקפו בתוך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מהיום</w:t>
      </w:r>
      <w:r>
        <w:rPr>
          <w:rtl w:val="true"/>
        </w:rPr>
        <w:t xml:space="preserve">, </w:t>
      </w:r>
      <w:r>
        <w:rPr>
          <w:rtl w:val="true"/>
        </w:rPr>
        <w:t>אלא אם כן עד לאותו מועד יינתן היתר לבניה</w:t>
      </w:r>
      <w:r>
        <w:rPr>
          <w:rtl w:val="true"/>
        </w:rPr>
        <w:t>.</w:t>
      </w:r>
    </w:p>
    <w:p>
      <w:pPr>
        <w:pStyle w:val="1"/>
        <w:numPr>
          <w:ilvl w:val="0"/>
          <w:numId w:val="1"/>
        </w:numPr>
        <w:ind w:hanging="567" w:start="567" w:end="567"/>
        <w:jc w:val="both"/>
        <w:rPr/>
      </w:pPr>
      <w:r>
        <w:rPr>
          <w:rtl w:val="true"/>
        </w:rPr>
        <w:t xml:space="preserve">הנאשמים ישלמו קנס כספי בסך </w:t>
      </w:r>
      <w:r>
        <w:rPr/>
        <w:t>9,000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 חודשיים שווים ורצופים</w:t>
      </w:r>
      <w:r>
        <w:rPr>
          <w:rtl w:val="true"/>
        </w:rPr>
        <w:t xml:space="preserve">. </w:t>
      </w:r>
      <w:r>
        <w:rPr>
          <w:rtl w:val="true"/>
        </w:rPr>
        <w:t xml:space="preserve">תשלום ראשון עד ליום </w:t>
      </w:r>
      <w:r>
        <w:rPr/>
        <w:t>15.7.11</w:t>
      </w:r>
      <w:r>
        <w:rPr>
          <w:rtl w:val="true"/>
        </w:rPr>
        <w:t xml:space="preserve"> </w:t>
      </w:r>
      <w:r>
        <w:rPr>
          <w:rtl w:val="true"/>
        </w:rPr>
        <w:t>ולאחר מכן בכל ה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בכל חודש</w:t>
      </w:r>
      <w:r>
        <w:rPr>
          <w:rtl w:val="true"/>
        </w:rPr>
        <w:t xml:space="preserve">, </w:t>
      </w:r>
      <w:r>
        <w:rPr>
          <w:rtl w:val="true"/>
        </w:rPr>
        <w:t>עד לגמר תשלום הקנס</w:t>
      </w:r>
      <w:r>
        <w:rPr>
          <w:rtl w:val="true"/>
        </w:rPr>
        <w:t xml:space="preserve">. </w:t>
      </w:r>
      <w:r>
        <w:rPr>
          <w:rtl w:val="true"/>
        </w:rPr>
        <w:t>לא ישולם תשלום במועדו</w:t>
      </w:r>
      <w:r>
        <w:rPr>
          <w:rtl w:val="true"/>
        </w:rPr>
        <w:t xml:space="preserve">, </w:t>
      </w:r>
      <w:r>
        <w:rPr>
          <w:rtl w:val="true"/>
        </w:rPr>
        <w:t>תעמוד כל יתרת הקנס לפירעון מיידי</w:t>
      </w:r>
      <w:r>
        <w:rPr>
          <w:rtl w:val="true"/>
        </w:rPr>
        <w:t xml:space="preserve">. </w:t>
      </w:r>
    </w:p>
    <w:p>
      <w:pPr>
        <w:pStyle w:val="1"/>
        <w:numPr>
          <w:ilvl w:val="0"/>
          <w:numId w:val="1"/>
        </w:numPr>
        <w:ind w:hanging="567" w:start="567" w:end="567"/>
        <w:jc w:val="both"/>
        <w:rPr/>
      </w:pPr>
      <w:r>
        <w:rPr>
          <w:rtl w:val="true"/>
        </w:rPr>
        <w:t xml:space="preserve">כל אחד מהנאשמים יחתום על התחייבות להימנע מכל עבירה על </w:t>
      </w:r>
      <w:hyperlink r:id="rId5">
        <w:r>
          <w:rPr>
            <w:rStyle w:val="Hyperlink"/>
            <w:color w:val="0000FF"/>
            <w:u w:val="single"/>
            <w:rtl w:val="true"/>
          </w:rPr>
          <w:t>חוק התכנון והבניה</w:t>
        </w:r>
      </w:hyperlink>
      <w:r>
        <w:rPr>
          <w:rtl w:val="true"/>
        </w:rPr>
        <w:t xml:space="preserve"> והתקנות על פיו</w:t>
      </w:r>
      <w:r>
        <w:rPr>
          <w:rtl w:val="true"/>
        </w:rPr>
        <w:t xml:space="preserve">. </w:t>
      </w:r>
      <w:r>
        <w:rPr>
          <w:rtl w:val="true"/>
        </w:rPr>
        <w:t xml:space="preserve">ההתחייבות תהיה על 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למשך שנתיים שנים</w:t>
      </w:r>
      <w:r>
        <w:rPr>
          <w:rtl w:val="true"/>
        </w:rPr>
        <w:t xml:space="preserve">, </w:t>
      </w:r>
      <w:r>
        <w:rPr>
          <w:rtl w:val="true"/>
        </w:rPr>
        <w:t>והיא תחתם עוד היום במזכירות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לא תחתם ההתחייבות ייאסרו הנאשמים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1"/>
        <w:numPr>
          <w:ilvl w:val="0"/>
          <w:numId w:val="1"/>
        </w:numPr>
        <w:ind w:hanging="567" w:start="567" w:end="567"/>
        <w:jc w:val="both"/>
        <w:rPr/>
      </w:pPr>
      <w:r>
        <w:rPr>
          <w:rtl w:val="true"/>
        </w:rPr>
        <w:t>צו ההריסה ירשם בפנקסי המקרקעין</w:t>
      </w:r>
      <w:r>
        <w:rPr>
          <w:rtl w:val="true"/>
        </w:rPr>
        <w:t xml:space="preserve">, </w:t>
      </w:r>
      <w:r>
        <w:rPr>
          <w:rtl w:val="true"/>
        </w:rPr>
        <w:t>גם אם המקרקעין אינם רשומים על שם הנאשמים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  <w:r>
        <w:rPr>
          <w:rtl w:val="true"/>
        </w:rPr>
        <w:t>זכות ערעור לבימ</w:t>
      </w:r>
      <w:r>
        <w:rPr>
          <w:rtl w:val="true"/>
        </w:rPr>
        <w:t>"</w:t>
      </w:r>
      <w:r>
        <w:rPr>
          <w:rtl w:val="true"/>
        </w:rPr>
        <w:t xml:space="preserve">ש מחוזי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12476-07-09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ועדה לתכנון ובנייה רמלה מחוז 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סמיה אבו אלחלוואה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567"/>
        </w:tabs>
        <w:ind w:start="567" w:hanging="567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11">
    <w:name w:val="סגנון (עברית ושפות אחרות) ‏11 נק' מודגש מרווח בין שורות:  בודד"/>
    <w:basedOn w:val="Normal"/>
    <w:qFormat/>
    <w:pPr>
      <w:numPr>
        <w:ilvl w:val="0"/>
        <w:numId w:val="1"/>
      </w:numPr>
      <w:jc w:val="both"/>
    </w:pPr>
    <w:rPr>
      <w:rFonts w:ascii="Times New Roman" w:hAnsi="Times New Roman" w:eastAsia="Times New Roman" w:cs="Times New Roman"/>
      <w:b/>
      <w:bCs/>
      <w:sz w:val="20"/>
      <w:szCs w:val="22"/>
    </w:rPr>
  </w:style>
  <w:style w:type="paragraph" w:styleId="1">
    <w:name w:val="סגנון1"/>
    <w:basedOn w:val="Normal"/>
    <w:qFormat/>
    <w:pPr>
      <w:spacing w:lineRule="auto" w:line="360" w:before="120" w:after="60"/>
      <w:jc w:val="both"/>
    </w:pPr>
    <w:rPr>
      <w:rFonts w:ascii="Times New Roman" w:hAnsi="Times New Roman" w:eastAsia="Times New Roman" w:cs="Times New Roman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law_html/law01/044_001.htm" TargetMode="External"/><Relationship Id="rId5" Type="http://schemas.openxmlformats.org/officeDocument/2006/relationships/hyperlink" Target="http://www.nevo.co.il/law_html/law01/044_001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2011-07-07T06:45:00Z</dcterms:created>
  <dc:creator> </dc:creator>
  <dc:description/>
  <cp:keywords/>
  <dc:language>en-IL</dc:language>
  <cp:lastModifiedBy>hofit</cp:lastModifiedBy>
  <dcterms:modified xsi:type="dcterms:W3CDTF">2011-07-07T06:45:00Z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לתכנון ובנייה רמלה מחוז מרכז</vt:lpwstr>
  </property>
  <property fmtid="{D5CDD505-2E9C-101B-9397-08002B2CF9AE}" pid="3" name="APPELLEE">
    <vt:lpwstr>סמיה אבו אלחלוואה;באסם אבן אלחלוואה</vt:lpwstr>
  </property>
  <property fmtid="{D5CDD505-2E9C-101B-9397-08002B2CF9AE}" pid="4" name="CITY">
    <vt:lpwstr>רמ'</vt:lpwstr>
  </property>
  <property fmtid="{D5CDD505-2E9C-101B-9397-08002B2CF9AE}" pid="5" name="DATE">
    <vt:lpwstr>20110706</vt:lpwstr>
  </property>
  <property fmtid="{D5CDD505-2E9C-101B-9397-08002B2CF9AE}" pid="6" name="JUDGE">
    <vt:lpwstr>הישאם אבו שחאדה</vt:lpwstr>
  </property>
  <property fmtid="{D5CDD505-2E9C-101B-9397-08002B2CF9AE}" pid="7" name="NEWPARTA">
    <vt:lpwstr>12476</vt:lpwstr>
  </property>
  <property fmtid="{D5CDD505-2E9C-101B-9397-08002B2CF9AE}" pid="8" name="NEWPARTB">
    <vt:lpwstr>07</vt:lpwstr>
  </property>
  <property fmtid="{D5CDD505-2E9C-101B-9397-08002B2CF9AE}" pid="9" name="NEWPARTC">
    <vt:lpwstr>09</vt:lpwstr>
  </property>
  <property fmtid="{D5CDD505-2E9C-101B-9397-08002B2CF9AE}" pid="10" name="NEWPROC">
    <vt:lpwstr>תוב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380020110706</vt:lpwstr>
  </property>
  <property fmtid="{D5CDD505-2E9C-101B-9397-08002B2CF9AE}" pid="14" name="TYPE_N_DATE">
    <vt:lpwstr>38020110706</vt:lpwstr>
  </property>
  <property fmtid="{D5CDD505-2E9C-101B-9397-08002B2CF9AE}" pid="15" name="WORDNUMPAGES">
    <vt:lpwstr>3</vt:lpwstr>
  </property>
</Properties>
</file>