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47678-11-10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פיצרסקי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צביקה פיצרסקי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ורד פיצרסקי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יפעת בליבאום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אלעד וייסטוך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צביקה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פיצרסקי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ורד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פיצרסקי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 פי הודיית הנאשמים בכתב האישום הנני מרשיעם בעבירות שכדלקמן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שימוש במקרקעין ללא היתר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204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תקנה </w:t>
      </w:r>
      <w:r>
        <w:rPr/>
        <w:t>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לתקנות התכנון והבנייה </w:t>
      </w:r>
      <w:r>
        <w:rPr>
          <w:rtl w:val="true"/>
        </w:rPr>
        <w:t>[</w:t>
      </w:r>
      <w:r>
        <w:rPr>
          <w:rtl w:val="true"/>
        </w:rPr>
        <w:t>עבודה ושימוש הטעונים היתר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1967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BodyText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#5#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bidi w:val="0"/>
        <w:spacing w:lineRule="auto" w:line="360" w:before="0" w:after="0"/>
        <w:jc w:val="end"/>
        <w:rPr>
          <w:b w:val="false"/>
          <w:bCs w:val="false"/>
        </w:rPr>
      </w:pPr>
      <w:bookmarkStart w:id="3" w:name="PsakDin"/>
      <w:bookmarkStart w:id="4" w:name="ABSTRACT_START"/>
      <w:bookmarkEnd w:id="3"/>
      <w:bookmarkEnd w:id="4"/>
      <w:r>
        <w:rPr>
          <w:b w:val="false"/>
          <w:b w:val="false"/>
          <w:bCs w:val="false"/>
          <w:rtl w:val="true"/>
        </w:rPr>
        <w:t>הנאשמים הורשעו על פי הודייתם בעבירות המפורטות בכתב האישום</w:t>
      </w:r>
      <w:r>
        <w:rPr>
          <w:b w:val="false"/>
          <w:bCs w:val="false"/>
        </w:rPr>
        <w:t xml:space="preserve">. </w:t>
      </w:r>
    </w:p>
    <w:p>
      <w:pPr>
        <w:pStyle w:val="BodyText"/>
        <w:bidi w:val="0"/>
        <w:spacing w:lineRule="auto" w:line="360" w:before="0" w:after="0"/>
        <w:jc w:val="end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להסכמה לעניין רכיבי הענישה</w:t>
      </w:r>
      <w:r>
        <w:rPr>
          <w:b w:val="false"/>
          <w:bCs w:val="false"/>
        </w:rPr>
        <w:t xml:space="preserve">. </w:t>
      </w:r>
    </w:p>
    <w:p>
      <w:pPr>
        <w:pStyle w:val="BodyText"/>
        <w:bidi w:val="0"/>
        <w:spacing w:lineRule="auto" w:line="360" w:before="0" w:after="0"/>
        <w:jc w:val="end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</w:rPr>
        <w:t>.</w:t>
      </w:r>
    </w:p>
    <w:p>
      <w:pPr>
        <w:pStyle w:val="BodyText"/>
        <w:bidi w:val="0"/>
        <w:spacing w:lineRule="auto" w:line="360" w:before="0" w:after="0"/>
        <w:jc w:val="end"/>
        <w:rPr>
          <w:b w:val="false"/>
          <w:bCs w:val="false"/>
        </w:rPr>
      </w:pPr>
      <w:bookmarkStart w:id="5" w:name="ABSTRACT_END"/>
      <w:bookmarkEnd w:id="5"/>
      <w:r>
        <w:rPr>
          <w:b w:val="false"/>
          <w:b w:val="false"/>
          <w:bCs w:val="false"/>
          <w:rtl w:val="true"/>
        </w:rPr>
        <w:t>לפיכך הנני משית על הנאשמים את העונשים הבאים</w:t>
      </w:r>
      <w:r>
        <w:rPr>
          <w:b w:val="false"/>
          <w:bCs w:val="fals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הנאשמים  ישלמו קנס בסך של </w:t>
      </w:r>
      <w:r>
        <w:rPr>
          <w:b w:val="false"/>
          <w:bCs w:val="false"/>
        </w:rPr>
        <w:t>7,000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14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01.07.11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בראשון 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כל אחד מהנאשמים יחתום על התחייבות כספית בסך של </w:t>
      </w:r>
      <w:r>
        <w:rPr>
          <w:b w:val="false"/>
          <w:bCs w:val="false"/>
        </w:rPr>
        <w:t>7,000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3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המשפט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ומי מהנאשמים לא יחתום על התחייבות אזי אותו נאשם ייאסר למשך </w:t>
      </w:r>
      <w:r>
        <w:rPr>
          <w:b w:val="false"/>
          <w:bCs w:val="false"/>
        </w:rPr>
        <w:t>14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הריסה לשטחים כמפורט בתשריט המצורף כנספח א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לכתב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צו ההריסה ייכנס לתוקפו בתום </w:t>
      </w:r>
      <w:r>
        <w:rPr>
          <w:b w:val="false"/>
          <w:bCs w:val="false"/>
        </w:rPr>
        <w:t>24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מהיום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אלא אם עד מועד זה יהיה בידי הנאשמים היתר בניה כדין המסדיר את העבירות נשוא 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צו ההריסה יכול שיקויים בידי המאשימה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ככל שהנאשמים לא יקיימוהו במידה וייכנס לתוקפו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צו ההריסה יירשם בפנקסי המקרקעין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#6#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47678-11-10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צביקה פיצרסקי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2011-05-23T11:57:00Z</dcterms:created>
  <dc:creator> </dc:creator>
  <dc:description/>
  <cp:keywords/>
  <dc:language>en-IL</dc:language>
  <cp:lastModifiedBy>eli</cp:lastModifiedBy>
  <dcterms:modified xsi:type="dcterms:W3CDTF">2011-05-23T11:57:00Z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צביקה פיצרסקי;ורד פיצרסקי</vt:lpwstr>
  </property>
  <property fmtid="{D5CDD505-2E9C-101B-9397-08002B2CF9AE}" pid="4" name="CITY">
    <vt:lpwstr>רמ'</vt:lpwstr>
  </property>
  <property fmtid="{D5CDD505-2E9C-101B-9397-08002B2CF9AE}" pid="5" name="DATE">
    <vt:lpwstr>20110522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47678</vt:lpwstr>
  </property>
  <property fmtid="{D5CDD505-2E9C-101B-9397-08002B2CF9AE}" pid="9" name="NEWPARTB">
    <vt:lpwstr>11</vt:lpwstr>
  </property>
  <property fmtid="{D5CDD505-2E9C-101B-9397-08002B2CF9AE}" pid="10" name="NEWPARTC">
    <vt:lpwstr>10</vt:lpwstr>
  </property>
  <property fmtid="{D5CDD505-2E9C-101B-9397-08002B2CF9AE}" pid="11" name="NEWPROC">
    <vt:lpwstr>תוב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11 47678 147 htm</vt:lpwstr>
  </property>
  <property fmtid="{D5CDD505-2E9C-101B-9397-08002B2CF9AE}" pid="14" name="TYPE">
    <vt:lpwstr>3</vt:lpwstr>
  </property>
  <property fmtid="{D5CDD505-2E9C-101B-9397-08002B2CF9AE}" pid="15" name="TYPE_ABS_DATE">
    <vt:lpwstr>380020110522</vt:lpwstr>
  </property>
  <property fmtid="{D5CDD505-2E9C-101B-9397-08002B2CF9AE}" pid="16" name="TYPE_N_DATE">
    <vt:lpwstr>38020110522</vt:lpwstr>
  </property>
  <property fmtid="{D5CDD505-2E9C-101B-9397-08002B2CF9AE}" pid="17" name="WORDNUMPAGES">
    <vt:lpwstr>2</vt:lpwstr>
  </property>
</Properties>
</file>