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51975-05-10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מקומית לתכנון ובניה חבל מודיעין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כל נעל סנטר 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מקומית לתכנון ובניה חבל מודיעין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כל נעל סנטר 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אורון איילה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מרדכי אורון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ליאורה אפרתי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ענת מאירי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נאשמים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  <w:bookmarkStart w:id="3" w:name="StartProtocol"/>
      <w:bookmarkStart w:id="4" w:name="StartProtocol"/>
      <w:bookmarkEnd w:id="4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bookmarkStart w:id="5" w:name="LastJudge"/>
      <w:bookmarkStart w:id="6" w:name="StartProtocol"/>
      <w:bookmarkEnd w:id="5"/>
      <w:bookmarkEnd w:id="6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הכרעת דין לגבי נאשמים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-</w:t>
      </w:r>
      <w:r>
        <w:rPr>
          <w:rFonts w:cs="Arial" w:ascii="Arial" w:hAnsi="Arial"/>
          <w:b/>
          <w:bCs/>
          <w:sz w:val="28"/>
          <w:szCs w:val="28"/>
          <w:u w:val="single"/>
        </w:rPr>
        <w:t>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על פי הודיית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הנני מרשיעם בעבירות שמפורטות בכתב האישום כדלקמן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ביצעו שימוש חורג במקרקעין ללא היתר לפי סעיפים </w:t>
      </w:r>
      <w:r>
        <w:rPr/>
        <w:t>145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3</w:t>
      </w:r>
      <w:r>
        <w:rPr>
          <w:rtl w:val="true"/>
        </w:rPr>
        <w:t xml:space="preserve">) , </w:t>
      </w:r>
      <w:r>
        <w:rPr/>
        <w:t>204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/>
        <w:t>208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253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התכנון והבנייה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1965</w:t>
      </w:r>
      <w:r>
        <w:rPr>
          <w:rtl w:val="true"/>
        </w:rPr>
        <w:t xml:space="preserve"> </w:t>
      </w:r>
      <w:r>
        <w:rPr>
          <w:rtl w:val="true"/>
        </w:rPr>
        <w:t xml:space="preserve">וכן תקנה </w:t>
      </w:r>
      <w:r>
        <w:rPr/>
        <w:t>1</w:t>
      </w:r>
      <w:r>
        <w:rPr>
          <w:rtl w:val="true"/>
        </w:rPr>
        <w:t>(</w:t>
      </w:r>
      <w:r>
        <w:rPr/>
        <w:t>1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לתקנות התכנון והבנייה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עבודה ושימוש הטעונים היתר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התשכ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ז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196</w:t>
      </w:r>
      <w:r>
        <w:rPr/>
        <w:t>7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עבירה של אי קיום צו בית משפט לפי סעיף </w:t>
      </w:r>
      <w:r>
        <w:rPr/>
        <w:t>210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התכנון והבנייה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1965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לנאשמים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-</w:t>
      </w:r>
      <w:r>
        <w:rPr>
          <w:rFonts w:cs="Arial" w:ascii="Arial" w:hAnsi="Arial"/>
          <w:b/>
          <w:bCs/>
          <w:sz w:val="28"/>
          <w:szCs w:val="28"/>
          <w:u w:val="single"/>
        </w:rPr>
        <w:t>3</w:t>
      </w:r>
    </w:p>
    <w:p>
      <w:pPr>
        <w:pStyle w:val="BodyText"/>
        <w:ind w:end="0"/>
        <w:jc w:val="start"/>
        <w:rPr>
          <w:b w:val="false"/>
          <w:bCs w:val="false"/>
        </w:rPr>
      </w:pPr>
      <w:bookmarkStart w:id="8" w:name="PsakDin"/>
      <w:bookmarkStart w:id="9" w:name="ABSTRACT_START"/>
      <w:bookmarkEnd w:id="8"/>
      <w:bookmarkEnd w:id="9"/>
      <w:r>
        <w:rPr>
          <w:b w:val="false"/>
          <w:b w:val="false"/>
          <w:bCs w:val="false"/>
          <w:rtl w:val="true"/>
        </w:rPr>
        <w:t>הנאשמים הורשעו על פי הודייתם בעבירות המפורטות בכתב האישום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הצדדים הגיעו הסכמה לעניין רכיבי הענישה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ההסדר הוא סביר ובכוונתי לכבדו</w:t>
      </w:r>
      <w:r>
        <w:rPr>
          <w:b w:val="false"/>
          <w:bCs w:val="false"/>
          <w:rtl w:val="true"/>
        </w:rPr>
        <w:t>.</w:t>
      </w:r>
    </w:p>
    <w:p>
      <w:pPr>
        <w:pStyle w:val="BodyText"/>
        <w:ind w:end="0"/>
        <w:jc w:val="start"/>
        <w:rPr>
          <w:b w:val="false"/>
          <w:bCs w:val="false"/>
        </w:rPr>
      </w:pPr>
      <w:bookmarkStart w:id="10" w:name="ABSTRACT_END"/>
      <w:bookmarkEnd w:id="10"/>
      <w:r>
        <w:rPr>
          <w:b w:val="false"/>
          <w:b w:val="false"/>
          <w:bCs w:val="false"/>
          <w:rtl w:val="true"/>
        </w:rPr>
        <w:t>לפיכך הנני משית על הנאשמים את העונשים הבאים</w:t>
      </w:r>
      <w:r>
        <w:rPr>
          <w:b w:val="false"/>
          <w:bCs w:val="false"/>
          <w:rtl w:val="true"/>
        </w:rPr>
        <w:t>:</w:t>
      </w:r>
    </w:p>
    <w:p>
      <w:pPr>
        <w:pStyle w:val="BodyText"/>
        <w:numPr>
          <w:ilvl w:val="0"/>
          <w:numId w:val="2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נאשמת </w:t>
      </w:r>
      <w:r>
        <w:rPr>
          <w:b w:val="false"/>
          <w:bCs w:val="false"/>
        </w:rPr>
        <w:t>1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תשלם קנס בסך של </w:t>
      </w:r>
      <w:r>
        <w:rPr>
          <w:b w:val="false"/>
          <w:bCs w:val="false"/>
        </w:rPr>
        <w:t>32,000</w:t>
      </w:r>
      <w:r>
        <w:rPr>
          <w:b w:val="false"/>
          <w:bCs w:val="false"/>
          <w:rtl w:val="true"/>
        </w:rPr>
        <w:t xml:space="preserve"> ₪. </w:t>
      </w:r>
      <w:r>
        <w:rPr>
          <w:b w:val="false"/>
          <w:b w:val="false"/>
          <w:bCs w:val="false"/>
          <w:rtl w:val="true"/>
        </w:rPr>
        <w:t xml:space="preserve">הקנס ישולם בתשלום אחד עד ליום </w:t>
      </w:r>
      <w:r>
        <w:rPr>
          <w:b w:val="false"/>
          <w:bCs w:val="false"/>
        </w:rPr>
        <w:t>15.07.11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נאשם </w:t>
      </w:r>
      <w:r>
        <w:rPr>
          <w:b w:val="false"/>
          <w:bCs w:val="false"/>
        </w:rPr>
        <w:t>3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ישלם קנס בסך של </w:t>
      </w:r>
      <w:r>
        <w:rPr>
          <w:b w:val="false"/>
          <w:bCs w:val="false"/>
        </w:rPr>
        <w:t>6,000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או </w:t>
      </w:r>
      <w:r>
        <w:rPr>
          <w:b w:val="false"/>
          <w:bCs w:val="false"/>
        </w:rPr>
        <w:t>12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 מאסר תמורתו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הקנס ישולם בתשלום אחד עד ליום </w:t>
      </w:r>
      <w:r>
        <w:rPr>
          <w:b w:val="false"/>
          <w:bCs w:val="false"/>
        </w:rPr>
        <w:t>15.07.11</w:t>
      </w:r>
      <w:r>
        <w:rPr>
          <w:b w:val="false"/>
          <w:bCs w:val="false"/>
          <w:rtl w:val="true"/>
        </w:rPr>
        <w:t>.</w:t>
      </w:r>
    </w:p>
    <w:p>
      <w:pPr>
        <w:pStyle w:val="BodyText"/>
        <w:numPr>
          <w:ilvl w:val="0"/>
          <w:numId w:val="2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כל אחד מהנאשמים יחתום על התחייבות כספית בסך של </w:t>
      </w:r>
      <w:r>
        <w:rPr>
          <w:b w:val="false"/>
          <w:bCs w:val="false"/>
        </w:rPr>
        <w:t>20,000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להימנע במשך </w:t>
      </w:r>
      <w:r>
        <w:rPr>
          <w:b w:val="false"/>
          <w:bCs w:val="false"/>
        </w:rPr>
        <w:t>3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שנים מהיום מביצוע עבירה לפי </w:t>
      </w:r>
      <w:hyperlink r:id="rId4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התכנון והבנייה</w:t>
        </w:r>
      </w:hyperlink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התשכ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ה</w:t>
      </w:r>
      <w:r>
        <w:rPr>
          <w:b w:val="false"/>
          <w:bCs w:val="false"/>
          <w:rtl w:val="true"/>
        </w:rPr>
        <w:t xml:space="preserve">- </w:t>
      </w:r>
      <w:r>
        <w:rPr>
          <w:b w:val="false"/>
          <w:bCs w:val="false"/>
        </w:rPr>
        <w:t>1965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והתקנות שלפיו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ההתחייבות תיחתם עוד היום במזכירות בית המשפט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היה ונאשם </w:t>
      </w:r>
      <w:r>
        <w:rPr>
          <w:b w:val="false"/>
          <w:bCs w:val="false"/>
        </w:rPr>
        <w:t>3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לא יחתום על התחייבות אזי ייאסר למשך </w:t>
      </w:r>
      <w:r>
        <w:rPr>
          <w:b w:val="false"/>
          <w:bCs w:val="false"/>
        </w:rPr>
        <w:t>40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numPr>
          <w:ilvl w:val="0"/>
          <w:numId w:val="2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ניתן בזאת צו איסור שימוש מידי לבנייה נשוא כתב האישום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זכות ערעור תוך </w:t>
      </w:r>
      <w:r>
        <w:rPr>
          <w:b w:val="false"/>
          <w:bCs w:val="false"/>
        </w:rPr>
        <w:t>45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יום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  <w:sz w:val="6"/>
          <w:szCs w:val="6"/>
        </w:rPr>
      </w:pPr>
      <w:r>
        <w:rPr>
          <w:b w:val="false"/>
          <w:bCs w:val="false"/>
          <w:sz w:val="6"/>
          <w:szCs w:val="6"/>
          <w:rtl w:val="true"/>
        </w:rPr>
        <w:t>&lt;</w:t>
      </w:r>
      <w:r>
        <w:rPr>
          <w:b w:val="false"/>
          <w:bCs w:val="false"/>
          <w:sz w:val="6"/>
          <w:szCs w:val="6"/>
        </w:rPr>
        <w:t>#6#</w:t>
      </w:r>
      <w:r>
        <w:rPr>
          <w:b w:val="false"/>
          <w:bCs w:val="false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לגבי נאשמת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הדיון בעניינה של 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יידחה לתזכורת תביעה ליום </w:t>
      </w:r>
      <w:r>
        <w:rPr/>
        <w:t>11.09.11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08:30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פטורה מהתייצבות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תוב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51975-05-10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ועדה מקומית לתכנון ובניה חבל ין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כל נעל סנטר בע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240" w:after="0"/>
    </w:pPr>
    <w:rPr>
      <w:rFonts w:ascii="Times New Roman" w:hAnsi="Times New Roman" w:eastAsia="Times New Roman" w:cs="Times New Roman"/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law_html/law01/044_001.htm" TargetMode="External"/><Relationship Id="rId4" Type="http://schemas.openxmlformats.org/officeDocument/2006/relationships/hyperlink" Target="http://www.nevo.co.il/law_html/law01/044_001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2011-06-20T11:17:00Z</dcterms:created>
  <dc:creator> </dc:creator>
  <dc:description/>
  <cp:keywords/>
  <dc:language>en-IL</dc:language>
  <cp:lastModifiedBy>hofit</cp:lastModifiedBy>
  <dcterms:modified xsi:type="dcterms:W3CDTF">2011-06-20T11:17:00Z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ועדה מקומית לתכנון ובניה חבל ין</vt:lpwstr>
  </property>
  <property fmtid="{D5CDD505-2E9C-101B-9397-08002B2CF9AE}" pid="3" name="APPELLEE">
    <vt:lpwstr>כל נעל סנטר בע"מ;אורון איילה;מרדכי אורון</vt:lpwstr>
  </property>
  <property fmtid="{D5CDD505-2E9C-101B-9397-08002B2CF9AE}" pid="4" name="CITY">
    <vt:lpwstr>רמ'</vt:lpwstr>
  </property>
  <property fmtid="{D5CDD505-2E9C-101B-9397-08002B2CF9AE}" pid="5" name="DATE">
    <vt:lpwstr>20110619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NEWPARTA">
    <vt:lpwstr>51975</vt:lpwstr>
  </property>
  <property fmtid="{D5CDD505-2E9C-101B-9397-08002B2CF9AE}" pid="9" name="NEWPARTB">
    <vt:lpwstr>05</vt:lpwstr>
  </property>
  <property fmtid="{D5CDD505-2E9C-101B-9397-08002B2CF9AE}" pid="10" name="NEWPARTC">
    <vt:lpwstr>10</vt:lpwstr>
  </property>
  <property fmtid="{D5CDD505-2E9C-101B-9397-08002B2CF9AE}" pid="11" name="NEWPROC">
    <vt:lpwstr>תוב</vt:lpwstr>
  </property>
  <property fmtid="{D5CDD505-2E9C-101B-9397-08002B2CF9AE}" pid="12" name="PSAKDIN">
    <vt:lpwstr>גזר-דין</vt:lpwstr>
  </property>
  <property fmtid="{D5CDD505-2E9C-101B-9397-08002B2CF9AE}" pid="13" name="TYPE">
    <vt:lpwstr>3</vt:lpwstr>
  </property>
  <property fmtid="{D5CDD505-2E9C-101B-9397-08002B2CF9AE}" pid="14" name="TYPE_ABS_DATE">
    <vt:lpwstr>380020110619</vt:lpwstr>
  </property>
  <property fmtid="{D5CDD505-2E9C-101B-9397-08002B2CF9AE}" pid="15" name="TYPE_N_DATE">
    <vt:lpwstr>38020110619</vt:lpwstr>
  </property>
  <property fmtid="{D5CDD505-2E9C-101B-9397-08002B2CF9AE}" pid="16" name="WORDNUMPAGES">
    <vt:lpwstr>3</vt:lpwstr>
  </property>
</Properties>
</file>