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2"/>
        <w:gridCol w:w="680"/>
        <w:gridCol w:w="2234"/>
      </w:tblGrid>
      <w:tr>
        <w:trPr>
          <w:trHeight w:val="195" w:hRule="atLeast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השלום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באר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שבע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001992/05</w:t>
            </w:r>
          </w:p>
        </w:tc>
      </w:tr>
      <w:tr>
        <w:trPr>
          <w:trHeight w:val="195" w:hRule="atLeast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4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ג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אמוראי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28/12/2009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szCs w:val="26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</w:tc>
        <w:tc>
          <w:tcPr>
            <w:tcW w:w="1757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0"/>
              <w:ind w:end="0"/>
              <w:jc w:val="both"/>
              <w:rPr/>
            </w:pPr>
            <w:bookmarkStart w:id="5" w:name="בא_כוח_א"/>
            <w:r>
              <w:rPr>
                <w:rtl w:val="true"/>
              </w:rPr>
              <w:t>נאוה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זרנגר</w:t>
            </w:r>
            <w:r>
              <w:rPr>
                <w:rFonts w:cs="Times New Roman"/>
                <w:rtl w:val="true"/>
              </w:rPr>
              <w:t xml:space="preserve"> </w:t>
            </w:r>
            <w:bookmarkEnd w:id="5"/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/>
            </w:pPr>
            <w:bookmarkStart w:id="6" w:name="שם_ב"/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מוסא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  <w:r>
              <w:rPr>
                <w:rFonts w:cs="Times New Roman"/>
                <w:rtl w:val="true"/>
              </w:rPr>
              <w:t xml:space="preserve"> </w:t>
            </w:r>
            <w:bookmarkEnd w:id="6"/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Style10"/>
              <w:ind w:end="0"/>
              <w:jc w:val="both"/>
              <w:rPr/>
            </w:pPr>
            <w:bookmarkStart w:id="7" w:name="בא_כוח_ב"/>
            <w:r>
              <w:rPr>
                <w:rtl w:val="true"/>
              </w:rPr>
              <w:t>ראפת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סרחן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מתמחה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אלסאנע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חליל</w:t>
            </w:r>
            <w:bookmarkEnd w:id="7"/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הנאשמים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8" w:name="LawTable"/>
      <w:bookmarkStart w:id="9" w:name="LawTable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Heading1"/>
        <w:ind w:end="0"/>
        <w:jc w:val="center"/>
        <w:rPr>
          <w:sz w:val="20"/>
          <w:u w:val="none"/>
        </w:rPr>
      </w:pPr>
      <w:bookmarkStart w:id="12" w:name="PsakDin"/>
      <w:bookmarkEnd w:id="12"/>
      <w:r>
        <w:rPr>
          <w:sz w:val="20"/>
          <w:sz w:val="20"/>
          <w:u w:val="none"/>
          <w:rtl w:val="true"/>
        </w:rPr>
        <w:t>גזר</w:t>
      </w:r>
      <w:r>
        <w:rPr>
          <w:rFonts w:cs="Times New Roman"/>
          <w:sz w:val="20"/>
          <w:sz w:val="20"/>
          <w:u w:val="none"/>
          <w:rtl w:val="true"/>
        </w:rPr>
        <w:t xml:space="preserve">  </w:t>
      </w:r>
      <w:r>
        <w:rPr>
          <w:sz w:val="20"/>
          <w:sz w:val="20"/>
          <w:u w:val="none"/>
          <w:rtl w:val="true"/>
        </w:rPr>
        <w:t>דין</w:t>
      </w:r>
      <w:r>
        <w:rPr>
          <w:rFonts w:cs="Times New Roman"/>
          <w:sz w:val="20"/>
          <w:sz w:val="20"/>
          <w:u w:val="none"/>
          <w:rtl w:val="true"/>
        </w:rPr>
        <w:t xml:space="preserve"> </w:t>
      </w:r>
    </w:p>
    <w:p>
      <w:pPr>
        <w:pStyle w:val="BodyText"/>
        <w:spacing w:lineRule="auto" w:line="360"/>
        <w:ind w:end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  <w:bookmarkStart w:id="13" w:name="PsakDin"/>
      <w:bookmarkStart w:id="14" w:name="PsakDin"/>
      <w:bookmarkEnd w:id="14"/>
    </w:p>
    <w:p>
      <w:pPr>
        <w:pStyle w:val="BodyText"/>
        <w:spacing w:lineRule="auto" w:line="360"/>
        <w:ind w:end="0"/>
        <w:jc w:val="start"/>
        <w:rPr/>
      </w:pP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46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נשוי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ילדים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נעדר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פלילי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הועמד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נוספת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5">
        <w:r>
          <w:rPr>
            <w:rStyle w:val="Hyperlink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העונשין</w:t>
        </w:r>
      </w:hyperlink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תשל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ז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1977</w:t>
      </w:r>
      <w:r>
        <w:rPr>
          <w:sz w:val="24"/>
          <w:szCs w:val="24"/>
          <w:rtl w:val="true"/>
        </w:rPr>
        <w:t xml:space="preserve"> {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 xml:space="preserve">: </w:t>
      </w:r>
      <w:hyperlink r:id="rId6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sz w:val="24"/>
          <w:szCs w:val="24"/>
          <w:rtl w:val="true"/>
        </w:rPr>
        <w:t>}.</w:t>
      </w:r>
    </w:p>
    <w:p>
      <w:pPr>
        <w:pStyle w:val="BodyText"/>
        <w:spacing w:lineRule="auto" w:line="360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BodyText"/>
        <w:spacing w:lineRule="auto" w:line="360"/>
        <w:ind w:end="0"/>
        <w:jc w:val="start"/>
        <w:rPr/>
      </w:pPr>
      <w:bookmarkStart w:id="15" w:name="ABSTRACT_START"/>
      <w:bookmarkEnd w:id="15"/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הודאתו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הסכמה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בעובדות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החזקת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שלא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כדין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{ </w:t>
      </w:r>
      <w:hyperlink r:id="rId7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hyperlink r:id="rId8">
        <w:r>
          <w:rPr>
            <w:rStyle w:val="Hyperlink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העונשין</w:t>
        </w:r>
      </w:hyperlink>
      <w:r>
        <w:rPr>
          <w:sz w:val="24"/>
          <w:szCs w:val="24"/>
          <w:rtl w:val="true"/>
        </w:rPr>
        <w:t xml:space="preserve">} </w:t>
      </w:r>
      <w:r>
        <w:rPr>
          <w:sz w:val="24"/>
          <w:sz w:val="24"/>
          <w:szCs w:val="24"/>
          <w:rtl w:val="true"/>
        </w:rPr>
        <w:t>ובעבירה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החזקת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חלק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אבזר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תחמושת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{</w:t>
      </w:r>
      <w:hyperlink r:id="rId9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hyperlink r:id="rId10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לחוק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sz w:val="24"/>
          <w:szCs w:val="24"/>
          <w:rtl w:val="true"/>
        </w:rPr>
        <w:t>}.</w:t>
      </w:r>
    </w:p>
    <w:p>
      <w:pPr>
        <w:pStyle w:val="BodyText"/>
        <w:spacing w:lineRule="auto" w:line="360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  <w:bookmarkStart w:id="16" w:name="ABSTRACT_END"/>
      <w:bookmarkStart w:id="17" w:name="ABSTRACT_END"/>
      <w:bookmarkEnd w:id="17"/>
    </w:p>
    <w:p>
      <w:pPr>
        <w:pStyle w:val="BodyText"/>
        <w:spacing w:lineRule="auto" w:line="360"/>
        <w:ind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עפ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עובדות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בתאריך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25/02/04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בשכונה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בלקיה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החזיקו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אקדח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לאמה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מחסנית</w:t>
      </w:r>
      <w:r>
        <w:rPr>
          <w:sz w:val="24"/>
          <w:szCs w:val="24"/>
          <w:rtl w:val="true"/>
        </w:rPr>
        <w:t xml:space="preserve">+ </w:t>
      </w:r>
      <w:r>
        <w:rPr>
          <w:sz w:val="24"/>
          <w:szCs w:val="24"/>
        </w:rPr>
        <w:t>17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להחזקתם</w:t>
      </w:r>
      <w:r>
        <w:rPr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ההסדר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הרשעתו</w:t>
      </w:r>
      <w:r>
        <w:rPr>
          <w:rtl w:val="true"/>
        </w:rPr>
        <w:t xml:space="preserve">, </w:t>
      </w:r>
      <w:r>
        <w:rPr>
          <w:rtl w:val="true"/>
        </w:rPr>
        <w:t>ושליחתו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bookmarkStart w:id="18" w:name="LastJudge"/>
      <w:bookmarkEnd w:id="18"/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עיסוקו</w:t>
      </w:r>
      <w:r>
        <w:rPr>
          <w:rtl w:val="true"/>
        </w:rPr>
        <w:t xml:space="preserve">, </w:t>
      </w:r>
      <w:r>
        <w:rPr>
          <w:rtl w:val="true"/>
        </w:rPr>
        <w:t>ההשקעה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צליאק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מניעיו</w:t>
      </w:r>
      <w:r>
        <w:rPr>
          <w:rtl w:val="true"/>
        </w:rPr>
        <w:t xml:space="preserve">,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שהתגלה</w:t>
      </w:r>
      <w:r>
        <w:rPr>
          <w:rtl w:val="true"/>
        </w:rPr>
        <w:t xml:space="preserve">,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.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במסגרת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ובהסתמך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tl w:val="true"/>
        </w:rPr>
        <w:t xml:space="preserve">.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חוות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בשב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9/2/10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המינמלי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-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עוינות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{ </w:t>
      </w:r>
      <w:hyperlink r:id="rId1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פואד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אבו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דאחל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29/03/04</w:t>
      </w:r>
      <w:r>
        <w:rPr>
          <w:rtl w:val="true"/>
        </w:rPr>
        <w:t>}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אינדיווידואלית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 xml:space="preserve">-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{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} </w:t>
      </w:r>
      <w:r>
        <w:rPr>
          <w:rtl w:val="true"/>
        </w:rPr>
        <w:t>ולהודאתו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{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ומהותה</w:t>
      </w:r>
      <w:r>
        <w:rPr>
          <w:rtl w:val="true"/>
        </w:rPr>
        <w:t xml:space="preserve">, </w:t>
      </w:r>
      <w:r>
        <w:rPr>
          <w:rtl w:val="true"/>
        </w:rPr>
        <w:t>גמול</w:t>
      </w:r>
      <w:r>
        <w:rPr>
          <w:rtl w:val="true"/>
        </w:rPr>
        <w:t xml:space="preserve">, </w:t>
      </w:r>
      <w:r>
        <w:rPr>
          <w:rtl w:val="true"/>
        </w:rPr>
        <w:t>הרתעה</w:t>
      </w:r>
      <w:r>
        <w:rPr>
          <w:rtl w:val="true"/>
        </w:rPr>
        <w:t xml:space="preserve">, </w:t>
      </w:r>
      <w:r>
        <w:rPr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ושיקום</w:t>
      </w:r>
      <w:r>
        <w:rPr>
          <w:rtl w:val="true"/>
        </w:rPr>
        <w:t xml:space="preserve">}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{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מוסווית</w:t>
      </w:r>
      <w:r>
        <w:rPr>
          <w:rtl w:val="true"/>
        </w:rPr>
        <w:t xml:space="preserve">},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{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והכללי</w:t>
      </w:r>
      <w:r>
        <w:rPr>
          <w:rtl w:val="true"/>
        </w:rPr>
        <w:t xml:space="preserve">} </w:t>
      </w:r>
      <w:r>
        <w:rPr>
          <w:rtl w:val="true"/>
        </w:rPr>
        <w:t>ומאידך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2"/>
        <w:ind w:end="0"/>
        <w:jc w:val="start"/>
        <w:rPr/>
      </w:pPr>
      <w:r>
        <w:rPr>
          <w:rtl w:val="true"/>
        </w:rPr>
        <w:t>העונש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</w:rPr>
      </w:pPr>
      <w:r>
        <w:rPr>
          <w:b/>
          <w:b/>
          <w:rtl w:val="true"/>
        </w:rPr>
        <w:t>לאור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האמור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לעיל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ובהתחשב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בשיקולי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הענישה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הנסיבות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לקולא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ולחומרא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ונסיבות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העושה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והמעשה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הנני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דן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כדלקמן</w:t>
      </w:r>
      <w:r>
        <w:rPr>
          <w:b/>
          <w:rtl w:val="true"/>
        </w:rPr>
        <w:t>:</w:t>
      </w:r>
    </w:p>
    <w:p>
      <w:pPr>
        <w:pStyle w:val="Normal"/>
        <w:ind w:end="0"/>
        <w:jc w:val="both"/>
        <w:rPr>
          <w:b/>
        </w:rPr>
      </w:pPr>
      <w:r>
        <w:rPr>
          <w:b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9/2/10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8:00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השמדת</w:t>
      </w:r>
      <w:r>
        <w:rPr>
          <w:rtl w:val="true"/>
        </w:rPr>
        <w:t>/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המוצגים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עותק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ישלח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בשב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ס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כחוק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ג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אמוראי </w:t>
      </w:r>
      <w:r>
        <w:rPr>
          <w:rFonts w:cs="David" w:ascii="David" w:hAnsi="David"/>
          <w:color w:val="000000"/>
          <w:sz w:val="22"/>
          <w:szCs w:val="22"/>
        </w:rPr>
        <w:t>54678313-1992/05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בטבת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בדצמבר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2009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180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02"/>
      </w:tblGrid>
      <w:tr>
        <w:trPr/>
        <w:tc>
          <w:tcPr>
            <w:tcW w:w="180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אמוראי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/>
      </w:pPr>
      <w:r>
        <w:rPr/>
        <w:t>001992/05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134</w:t>
      </w:r>
      <w:r>
        <w:rPr>
          <w:rtl w:val="true"/>
        </w:rPr>
        <w:t xml:space="preserve"> </w:t>
      </w:r>
      <w:r>
        <w:rPr>
          <w:rtl w:val="true"/>
        </w:rPr>
        <w:t>איריס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2"/>
      <w:footerReference w:type="default" r:id="rId1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/Users/liorb/Downloads/study2025-p2/s05001992-118.doc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1992/05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אבו עביד מוסא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start"/>
      <w:outlineLvl w:val="4"/>
    </w:pPr>
    <w:rPr>
      <w:rFonts w:eastAsia="Arial Unicode MS" w:cs="Times New Roman"/>
      <w:sz w:val="24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40"/>
      <w:ind w:hanging="0" w:start="0" w:end="0"/>
      <w:jc w:val="start"/>
    </w:pPr>
    <w:rPr>
      <w:sz w:val="28"/>
      <w:szCs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5852404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2016-08-08T13:16:00Z</dcterms:created>
  <dc:creator>סתיו צולר</dc:creator>
  <dc:description/>
  <cp:keywords/>
  <dc:language>en-IL</dc:language>
  <cp:lastModifiedBy>hofit</cp:lastModifiedBy>
  <cp:lastPrinted>2009-12-28T15:53:00Z</cp:lastPrinted>
  <dcterms:modified xsi:type="dcterms:W3CDTF">2016-08-08T13:16:00Z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אבו עביד מוסא</vt:lpwstr>
  </property>
  <property fmtid="{D5CDD505-2E9C-101B-9397-08002B2CF9AE}" pid="4" name="CASESLISTTMP1">
    <vt:lpwstr>5852404</vt:lpwstr>
  </property>
  <property fmtid="{D5CDD505-2E9C-101B-9397-08002B2CF9AE}" pid="5" name="CITY">
    <vt:lpwstr>ב"ש</vt:lpwstr>
  </property>
  <property fmtid="{D5CDD505-2E9C-101B-9397-08002B2CF9AE}" pid="6" name="DATE">
    <vt:lpwstr>20091228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ג. אמוראי</vt:lpwstr>
  </property>
  <property fmtid="{D5CDD505-2E9C-101B-9397-08002B2CF9AE}" pid="10" name="LAWLISTTMP1">
    <vt:lpwstr>70301/144.a;144.b</vt:lpwstr>
  </property>
  <property fmtid="{D5CDD505-2E9C-101B-9397-08002B2CF9AE}" pid="11" name="LAWYER">
    <vt:lpwstr>נאוה זרנגר;אלסאנע חליל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1992</vt:lpwstr>
  </property>
  <property fmtid="{D5CDD505-2E9C-101B-9397-08002B2CF9AE}" pid="33" name="PROCYEAR">
    <vt:lpwstr>05</vt:lpwstr>
  </property>
  <property fmtid="{D5CDD505-2E9C-101B-9397-08002B2CF9AE}" pid="34" name="PSAKDIN">
    <vt:lpwstr>גזר-דין</vt:lpwstr>
  </property>
  <property fmtid="{D5CDD505-2E9C-101B-9397-08002B2CF9AE}" pid="35" name="RemarkFileName">
    <vt:lpwstr>shalom s05001992 118 htm</vt:lpwstr>
  </property>
  <property fmtid="{D5CDD505-2E9C-101B-9397-08002B2CF9AE}" pid="36" name="TYPE">
    <vt:lpwstr>3</vt:lpwstr>
  </property>
  <property fmtid="{D5CDD505-2E9C-101B-9397-08002B2CF9AE}" pid="37" name="TYPE_ABS_DATE">
    <vt:lpwstr>380020091228</vt:lpwstr>
  </property>
  <property fmtid="{D5CDD505-2E9C-101B-9397-08002B2CF9AE}" pid="38" name="TYPE_N_DATE">
    <vt:lpwstr>38020091228</vt:lpwstr>
  </property>
  <property fmtid="{D5CDD505-2E9C-101B-9397-08002B2CF9AE}" pid="39" name="VOLUME">
    <vt:lpwstr/>
  </property>
  <property fmtid="{D5CDD505-2E9C-101B-9397-08002B2CF9AE}" pid="40" name="WORDNUMPAGES">
    <vt:lpwstr>4</vt:lpwstr>
  </property>
</Properties>
</file>