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002261/06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אמוראי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29/10/2006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אבגי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גבריאל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שבתאי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רווח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1" w:name="כינוי_ב"/>
            <w:bookmarkEnd w:id="11"/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58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413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"/>
        <w:ind w:end="0"/>
        <w:jc w:val="center"/>
        <w:rPr>
          <w:color w:val="000000"/>
          <w:sz w:val="30"/>
          <w:szCs w:val="32"/>
        </w:rPr>
      </w:pPr>
      <w:bookmarkStart w:id="16" w:name="PsakDin"/>
      <w:bookmarkStart w:id="17" w:name="Decision1"/>
      <w:bookmarkEnd w:id="16"/>
      <w:bookmarkEnd w:id="17"/>
      <w:r>
        <w:rPr>
          <w:color w:val="000000"/>
          <w:sz w:val="30"/>
          <w:sz w:val="30"/>
          <w:szCs w:val="32"/>
          <w:rtl w:val="true"/>
        </w:rPr>
        <w:t>גזר</w:t>
      </w:r>
      <w:r>
        <w:rPr>
          <w:rFonts w:cs="Times New Roman"/>
          <w:color w:val="000000"/>
          <w:sz w:val="30"/>
          <w:sz w:val="30"/>
          <w:szCs w:val="32"/>
          <w:rtl w:val="true"/>
        </w:rPr>
        <w:t xml:space="preserve">  </w:t>
      </w:r>
      <w:r>
        <w:rPr>
          <w:color w:val="000000"/>
          <w:sz w:val="30"/>
          <w:sz w:val="30"/>
          <w:szCs w:val="32"/>
          <w:rtl w:val="true"/>
        </w:rPr>
        <w:t>דין</w:t>
      </w:r>
    </w:p>
    <w:p>
      <w:pPr>
        <w:pStyle w:val="Normal"/>
        <w:ind w:end="0"/>
        <w:jc w:val="both"/>
        <w:rPr>
          <w:color w:val="000000"/>
          <w:sz w:val="30"/>
          <w:szCs w:val="32"/>
        </w:rPr>
      </w:pPr>
      <w:r>
        <w:rPr>
          <w:color w:val="000000"/>
          <w:sz w:val="30"/>
          <w:szCs w:val="32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bookmarkStart w:id="20" w:name="Decision1"/>
      <w:bookmarkStart w:id="21" w:name="ABSTRACT_START"/>
      <w:bookmarkEnd w:id="20"/>
      <w:bookmarkEnd w:id="2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22" w:name="ABSTRACT_END"/>
      <w:bookmarkEnd w:id="22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9.05.06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24.05.06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13.07.06</w:t>
      </w:r>
      <w:r>
        <w:rPr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ויצמן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במקלטים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1962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מתדון</w:t>
      </w:r>
      <w:r>
        <w:rPr>
          <w:rtl w:val="true"/>
        </w:rPr>
        <w:t xml:space="preserve">".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למתדון</w:t>
      </w:r>
      <w:r>
        <w:rPr>
          <w:rtl w:val="true"/>
        </w:rPr>
        <w:t xml:space="preserve">, </w:t>
      </w:r>
      <w:r>
        <w:rPr>
          <w:rtl w:val="true"/>
        </w:rPr>
        <w:t>סמי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3.05.05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:</w:t>
      </w:r>
    </w:p>
    <w:p>
      <w:pPr>
        <w:pStyle w:val="Normal"/>
        <w:ind w:hanging="360" w:start="36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2797/04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.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13.12.04</w:t>
      </w:r>
      <w:r>
        <w:rPr>
          <w:rtl w:val="true"/>
        </w:rPr>
        <w:t>.</w:t>
      </w:r>
    </w:p>
    <w:p>
      <w:pPr>
        <w:pStyle w:val="Normal"/>
        <w:ind w:hanging="360" w:start="3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3254/02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3.05.05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9.05.06</w:t>
      </w:r>
      <w:r>
        <w:rPr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3254/02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BodyTextIndent"/>
        <w:ind w:end="0"/>
        <w:jc w:val="start"/>
        <w:rPr/>
      </w:pPr>
      <w:r>
        <w:rPr>
          <w:rtl w:val="true"/>
        </w:rPr>
      </w:r>
    </w:p>
    <w:p>
      <w:pPr>
        <w:pStyle w:val="BodyTextIndent"/>
        <w:ind w:end="0"/>
        <w:jc w:val="start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</w:t>
      </w:r>
      <w:r>
        <w:rPr>
          <w:rtl w:val="true"/>
        </w:rPr>
        <w:t xml:space="preserve">). </w:t>
      </w:r>
    </w:p>
    <w:p>
      <w:pPr>
        <w:pStyle w:val="Normal"/>
        <w:ind w:start="26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center"/>
        <w:rPr>
          <w:bCs/>
          <w:sz w:val="28"/>
        </w:rPr>
      </w:pPr>
      <w:bookmarkStart w:id="23" w:name="LastJudge"/>
      <w:bookmarkEnd w:id="23"/>
      <w:r>
        <w:rPr>
          <w:bCs/>
          <w:sz w:val="28"/>
          <w:sz w:val="28"/>
          <w:rtl w:val="true"/>
        </w:rPr>
        <w:t>בנוסף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יש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לציין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את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הקלות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בביצוע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העבירה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הנ</w:t>
      </w:r>
      <w:r>
        <w:rPr>
          <w:bCs/>
          <w:sz w:val="28"/>
          <w:rtl w:val="true"/>
        </w:rPr>
        <w:t>"</w:t>
      </w:r>
      <w:r>
        <w:rPr>
          <w:bCs/>
          <w:sz w:val="28"/>
          <w:sz w:val="28"/>
          <w:rtl w:val="true"/>
        </w:rPr>
        <w:t>ל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והקושי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הרב</w:t>
      </w:r>
      <w:r>
        <w:rPr>
          <w:rFonts w:cs="Times New Roman"/>
          <w:bCs/>
          <w:sz w:val="28"/>
          <w:sz w:val="28"/>
          <w:rtl w:val="true"/>
        </w:rPr>
        <w:t xml:space="preserve"> </w:t>
      </w:r>
      <w:r>
        <w:rPr>
          <w:bCs/>
          <w:sz w:val="28"/>
          <w:sz w:val="28"/>
          <w:rtl w:val="true"/>
        </w:rPr>
        <w:t>במיגורה</w:t>
      </w:r>
      <w:r>
        <w:rPr>
          <w:bCs/>
          <w:sz w:val="28"/>
          <w:rtl w:val="true"/>
        </w:rPr>
        <w:t>.</w:t>
      </w:r>
    </w:p>
    <w:p>
      <w:pPr>
        <w:pStyle w:val="Normal"/>
        <w:ind w:end="0"/>
        <w:jc w:val="both"/>
        <w:rPr>
          <w:bCs/>
          <w:sz w:val="28"/>
        </w:rPr>
      </w:pPr>
      <w:r>
        <w:rPr>
          <w:bCs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658/06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אבראהים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tl w:val="true"/>
        </w:rPr>
        <w:t>, 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ציווה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,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חופפות</w:t>
      </w:r>
      <w:r>
        <w:rPr>
          <w:rtl w:val="true"/>
        </w:rPr>
        <w:t xml:space="preserve">",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2797/04</w:t>
      </w:r>
      <w:r>
        <w:rPr>
          <w:rtl w:val="true"/>
        </w:rPr>
        <w:t xml:space="preserve">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3254/02</w:t>
        </w:r>
      </w:hyperlink>
      <w:r>
        <w:rPr>
          <w:rtl w:val="true"/>
        </w:rPr>
        <w:t xml:space="preserve"> </w:t>
      </w:r>
      <w:r>
        <w:rPr>
          <w:rtl w:val="true"/>
        </w:rPr>
        <w:t>שמשכו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10/5/06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  <w:bookmarkStart w:id="24" w:name="Decision2"/>
      <w:bookmarkStart w:id="25" w:name="Decision2"/>
      <w:bookmarkEnd w:id="25"/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אמוראי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54678313-2261/06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1802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2"/>
      </w:tblGrid>
      <w:tr>
        <w:trPr/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bookmarkStart w:id="26" w:name="Decision2"/>
      <w:bookmarkEnd w:id="26"/>
      <w:r>
        <w:rPr/>
        <w:t>002261/06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/Users/liorb/Downloads/study2025-p2/s06002261-160.doc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2261/06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אבגי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גבריאל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26" w:end="0"/>
      <w:jc w:val="start"/>
    </w:pPr>
    <w:rPr>
      <w:sz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8" TargetMode="External"/><Relationship Id="rId4" Type="http://schemas.openxmlformats.org/officeDocument/2006/relationships/hyperlink" Target="http://www.nevo.co.il/law/70301/413" TargetMode="External"/><Relationship Id="rId5" Type="http://schemas.openxmlformats.org/officeDocument/2006/relationships/hyperlink" Target="http://www.nevo.co.il/law/70301/413d.a" TargetMode="External"/><Relationship Id="rId6" Type="http://schemas.openxmlformats.org/officeDocument/2006/relationships/hyperlink" Target="http://www.nevo.co.il/law/70301/413f" TargetMode="External"/><Relationship Id="rId7" Type="http://schemas.openxmlformats.org/officeDocument/2006/relationships/hyperlink" Target="http://www.nevo.co.il/law/70301/413g" TargetMode="External"/><Relationship Id="rId8" Type="http://schemas.openxmlformats.org/officeDocument/2006/relationships/hyperlink" Target="http://www.nevo.co.il/law/70301/jaC" TargetMode="External"/><Relationship Id="rId9" Type="http://schemas.openxmlformats.org/officeDocument/2006/relationships/hyperlink" Target="http://www.nevo.co.il/law/70301/413f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13g" TargetMode="External"/><Relationship Id="rId12" Type="http://schemas.openxmlformats.org/officeDocument/2006/relationships/hyperlink" Target="http://www.nevo.co.il/law/70301/413d.a" TargetMode="External"/><Relationship Id="rId13" Type="http://schemas.openxmlformats.org/officeDocument/2006/relationships/hyperlink" Target="http://www.nevo.co.il/case/1016126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yperlink" Target="http://www.nevo.co.il/case/1016126" TargetMode="External"/><Relationship Id="rId16" Type="http://schemas.openxmlformats.org/officeDocument/2006/relationships/hyperlink" Target="http://www.nevo.co.il/case/476824" TargetMode="External"/><Relationship Id="rId17" Type="http://schemas.openxmlformats.org/officeDocument/2006/relationships/hyperlink" Target="http://www.nevo.co.il/law/70301/5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016126" TargetMode="External"/><Relationship Id="rId20" Type="http://schemas.openxmlformats.org/officeDocument/2006/relationships/hyperlink" Target="http://www.nevo.co.il/law/70301/jaC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2016-12-29T10:01:00Z</dcterms:created>
  <dc:creator> </dc:creator>
  <dc:description/>
  <cp:keywords/>
  <dc:language>en-IL</dc:language>
  <cp:lastModifiedBy>run</cp:lastModifiedBy>
  <dcterms:modified xsi:type="dcterms:W3CDTF">2016-12-29T10:01:00Z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אבגי  גבריאל</vt:lpwstr>
  </property>
  <property fmtid="{D5CDD505-2E9C-101B-9397-08002B2CF9AE}" pid="4" name="CASESLISTTMP1">
    <vt:lpwstr>1016126:3;476824</vt:lpwstr>
  </property>
  <property fmtid="{D5CDD505-2E9C-101B-9397-08002B2CF9AE}" pid="5" name="CITY">
    <vt:lpwstr>ב"ש</vt:lpwstr>
  </property>
  <property fmtid="{D5CDD505-2E9C-101B-9397-08002B2CF9AE}" pid="6" name="DATE">
    <vt:lpwstr>20061029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ג. אמוראי</vt:lpwstr>
  </property>
  <property fmtid="{D5CDD505-2E9C-101B-9397-08002B2CF9AE}" pid="10" name="LAWLISTTMP1">
    <vt:lpwstr>70301/413f;413g;413d.a;413;058;jaC</vt:lpwstr>
  </property>
  <property fmtid="{D5CDD505-2E9C-101B-9397-08002B2CF9AE}" pid="11" name="LAWYER">
    <vt:lpwstr>גב' טלי כהן;שבתאי  רווח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2261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