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b/>
          <w:bCs/>
          <w:sz w:val="24"/>
        </w:rPr>
      </w:pPr>
      <w:bookmarkStart w:id="0" w:name="LastJudge"/>
      <w:bookmarkEnd w:id="0"/>
      <w:r>
        <w:rPr>
          <w:b/>
          <w:b/>
          <w:bCs/>
          <w:sz w:val="24"/>
          <w:sz w:val="24"/>
          <w:rtl w:val="true"/>
        </w:rPr>
        <w:t>בתי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המשפט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8"/>
        <w:gridCol w:w="822"/>
        <w:gridCol w:w="2093"/>
      </w:tblGrid>
      <w:tr>
        <w:trPr>
          <w:trHeight w:val="195" w:hRule="atLeast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באר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שבע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002624/06</w:t>
            </w:r>
          </w:p>
        </w:tc>
      </w:tr>
      <w:tr>
        <w:trPr>
          <w:trHeight w:val="195" w:hRule="atLeast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נ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טהה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14/07/2009</w:t>
            </w:r>
          </w:p>
        </w:tc>
      </w:tr>
    </w:tbl>
    <w:p>
      <w:pPr>
        <w:pStyle w:val="Normal"/>
        <w:ind w:end="0"/>
        <w:jc w:val="center"/>
        <w:rPr>
          <w:rFonts w:ascii="Arial" w:hAnsi="Arial" w:cs="Arial"/>
          <w:b/>
          <w:bCs/>
          <w:szCs w:val="32"/>
        </w:rPr>
      </w:pPr>
      <w:r>
        <w:rPr>
          <w:rFonts w:cs="Arial" w:ascii="Arial" w:hAnsi="Arial"/>
          <w:b/>
          <w:bCs/>
          <w:szCs w:val="32"/>
          <w:rtl w:val="true"/>
        </w:rPr>
      </w:r>
    </w:p>
    <w:tbl>
      <w:tblPr>
        <w:bidiVisual w:val="true"/>
        <w:tblW w:w="8506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324"/>
      </w:tblGrid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 xml:space="preserve">מדינת ישראל </w:t>
            </w:r>
          </w:p>
        </w:tc>
        <w:tc>
          <w:tcPr>
            <w:tcW w:w="2324" w:type="dxa"/>
            <w:tcBorders/>
          </w:tcPr>
          <w:p>
            <w:pPr>
              <w:pStyle w:val="1"/>
              <w:snapToGrid w:val="false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  <w:bookmarkStart w:id="1" w:name="FirstLawyer"/>
            <w:bookmarkStart w:id="2" w:name="FirstAppellant"/>
            <w:bookmarkStart w:id="3" w:name="FirstLawyer"/>
            <w:bookmarkStart w:id="4" w:name="FirstAppellant"/>
            <w:bookmarkEnd w:id="3"/>
            <w:bookmarkEnd w:id="4"/>
          </w:p>
        </w:tc>
        <w:tc>
          <w:tcPr>
            <w:tcW w:w="1757" w:type="dxa"/>
            <w:tcBorders/>
          </w:tcPr>
          <w:p>
            <w:pPr>
              <w:pStyle w:val="Style12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ind w:end="0"/>
              <w:jc w:val="both"/>
              <w:rPr>
                <w:rFonts w:ascii="Arial" w:hAnsi="Arial" w:cs="Arial"/>
              </w:rPr>
            </w:pPr>
            <w:bookmarkStart w:id="5" w:name="בא_כוח_א"/>
            <w:r>
              <w:rPr>
                <w:rFonts w:ascii="Arial" w:hAnsi="Arial" w:cs="Arial"/>
                <w:rtl w:val="true"/>
              </w:rPr>
              <w:t xml:space="preserve">הדס הוס </w:t>
            </w:r>
            <w:r>
              <w:rPr>
                <w:rFonts w:cs="Arial" w:ascii="Arial" w:hAnsi="Arial"/>
                <w:rtl w:val="true"/>
              </w:rPr>
              <w:t xml:space="preserve">+ </w:t>
            </w:r>
            <w:r>
              <w:rPr>
                <w:rFonts w:ascii="Arial" w:hAnsi="Arial" w:cs="Arial"/>
                <w:rtl w:val="true"/>
              </w:rPr>
              <w:t>נאווה זרנגר</w:t>
            </w:r>
            <w:bookmarkEnd w:id="5"/>
          </w:p>
        </w:tc>
        <w:tc>
          <w:tcPr>
            <w:tcW w:w="2324" w:type="dxa"/>
            <w:tcBorders/>
          </w:tcPr>
          <w:p>
            <w:pPr>
              <w:pStyle w:val="Style12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 w:val="24"/>
                <w:szCs w:val="26"/>
                <w:rtl w:val="true"/>
              </w:rPr>
              <w:t>נ  ג  ד</w:t>
            </w:r>
          </w:p>
        </w:tc>
        <w:tc>
          <w:tcPr>
            <w:tcW w:w="2324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>
                <w:rFonts w:ascii="Arial" w:hAnsi="Arial" w:cs="Arial"/>
              </w:rPr>
            </w:pPr>
            <w:bookmarkStart w:id="6" w:name="שם_ב"/>
            <w:r>
              <w:rPr>
                <w:rFonts w:ascii="Arial" w:hAnsi="Arial" w:cs="Arial"/>
                <w:rtl w:val="true"/>
              </w:rPr>
              <w:t xml:space="preserve">אלקרינאוי אמיר </w:t>
            </w:r>
            <w:r>
              <w:rPr>
                <w:rFonts w:cs="Arial" w:ascii="Arial" w:hAnsi="Arial"/>
                <w:rtl w:val="true"/>
              </w:rPr>
              <w:t xml:space="preserve">- </w:t>
            </w:r>
            <w:r>
              <w:rPr>
                <w:rFonts w:ascii="Arial" w:hAnsi="Arial" w:cs="Arial"/>
                <w:rtl w:val="true"/>
              </w:rPr>
              <w:t>בעצמו</w:t>
            </w:r>
            <w:bookmarkEnd w:id="6"/>
          </w:p>
        </w:tc>
        <w:tc>
          <w:tcPr>
            <w:tcW w:w="2324" w:type="dxa"/>
            <w:tcBorders/>
          </w:tcPr>
          <w:p>
            <w:pPr>
              <w:pStyle w:val="1"/>
              <w:snapToGrid w:val="false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2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ind w:end="0"/>
              <w:jc w:val="both"/>
              <w:rPr>
                <w:rFonts w:ascii="Arial" w:hAnsi="Arial" w:cs="Arial"/>
              </w:rPr>
            </w:pPr>
            <w:bookmarkStart w:id="7" w:name="בא_כוח_ב"/>
            <w:r>
              <w:rPr>
                <w:rFonts w:ascii="Arial" w:hAnsi="Arial" w:cs="Arial"/>
                <w:rtl w:val="true"/>
              </w:rPr>
              <w:t>רונן טל</w:t>
            </w:r>
            <w:bookmarkEnd w:id="7"/>
          </w:p>
        </w:tc>
        <w:tc>
          <w:tcPr>
            <w:tcW w:w="2324" w:type="dxa"/>
            <w:tcBorders/>
          </w:tcPr>
          <w:p>
            <w:pPr>
              <w:pStyle w:val="Style12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הנאשם</w:t>
            </w:r>
          </w:p>
        </w:tc>
      </w:tr>
    </w:tbl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  <w:rtl w:val="true"/>
        </w:rPr>
      </w:r>
      <w:bookmarkStart w:id="8" w:name="סוג_מסמך"/>
      <w:bookmarkStart w:id="9" w:name="סוג_מסמך"/>
      <w:bookmarkEnd w:id="9"/>
    </w:p>
    <w:p>
      <w:pPr>
        <w:pStyle w:val="Normal"/>
        <w:ind w:end="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bookmarkStart w:id="10" w:name="LastJudge"/>
      <w:bookmarkStart w:id="11" w:name="PsakDin"/>
      <w:bookmarkEnd w:id="10"/>
      <w:bookmarkEnd w:id="11"/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ind w:end="0"/>
        <w:jc w:val="both"/>
        <w:rPr/>
      </w:pPr>
      <w:bookmarkStart w:id="12" w:name="PsakDin"/>
      <w:bookmarkStart w:id="13" w:name="ABSTRACT_START"/>
      <w:bookmarkEnd w:id="12"/>
      <w:bookmarkEnd w:id="13"/>
      <w:r>
        <w:rPr>
          <w:rFonts w:ascii="Arial" w:hAnsi="Arial" w:cs="Arial"/>
          <w:rtl w:val="true"/>
        </w:rPr>
        <w:t>הנאשם הורשע 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הודאתו בעובדות כתב האישום המתוקן 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בעבירות של החזקת נשק שלא כדין – עבירה לפי סעיף </w:t>
      </w:r>
      <w:r>
        <w:rPr>
          <w:rFonts w:cs="Arial" w:ascii="Arial" w:hAnsi="Arial"/>
        </w:rPr>
        <w:t>144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</w:t>
      </w:r>
      <w:hyperlink r:id="rId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מעשה רשלנות בכלי יריה – עבירה לפי סעיף </w:t>
      </w:r>
      <w:r>
        <w:rPr>
          <w:rFonts w:cs="Arial" w:ascii="Arial" w:hAnsi="Arial"/>
        </w:rPr>
        <w:t>338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>.</w:t>
      </w:r>
      <w:bookmarkStart w:id="14" w:name="ABSTRACT_END"/>
      <w:bookmarkEnd w:id="14"/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מעובדות כתב האישום המתוקן מיוחס לנאשם כי בתאריך </w:t>
      </w:r>
      <w:r>
        <w:rPr>
          <w:rFonts w:cs="Arial" w:ascii="Arial" w:hAnsi="Arial"/>
        </w:rPr>
        <w:t>24.5.06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במהלך קטטה המונית בשכונה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ברהט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ירה הנאשם באקדח באוויר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במעשה המתואר נהג הנאשם בדרך נמהרת ורשלנית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בעניינו של הנאשם הוגש תסקיר ממנו עולה כי הנאשם בן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נשוי ואב לשני ילדים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עובד בתחום החקלאות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השירות מציין כי התרשם מאדם ללא מאפיינים אלימים בהתנהגותו וכן סבורים שהנאשם רואה בחוק ובגורמי החוק גורמי סמכות וגבולות ברורים להתנהגותו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לאור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התרשם השירות כי לתקופת שהותו במעצר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למעצר הבית ולהליכים המשפטיים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השפעה מרתיעה המחדדת גבולות עבורו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 לנסיבות 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מסר הנאשם בפני השירות כי כאשר הגיע למקום האירוע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הבחין בקטטה בה מעורבים בני משפחתו וכאשר ראה את אחיו שרועים על הרצפה ורבים אחרים עם אלות מכים בהם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ניגש לאחד מבני משפחתו שהחזיק אקדח וירה באוויר כדי להרחיק את האחרים מאחיו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באותם רגעים היה נסער ביותר מהמראה שראה ופעל מבלי להפעיל שיקול דעת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באופן שאינו מאפיין אותו לדבריו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לדבריו בפני השירות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כיום הוא מבין כי בטרם הגיע למקום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עליו להתקשר למשטרה ולתת לה את האפשרות לטפל במצב שנוצר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  <w:szCs w:val="16"/>
        </w:rPr>
      </w:pPr>
      <w:r>
        <w:rPr>
          <w:rFonts w:cs="Arial" w:ascii="Arial" w:hAnsi="Arial"/>
          <w:szCs w:val="16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השירות סבור כי מעשה הנאשם משקף תגובה אימפוליסיבית שהיא תוצאה של סערת רגשות בה היה נתון הנאשם באותם רגעים לנוכח המראה שראה כאשר הגיע למקום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סבור השירות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המעשה משקף את תחושת השייכות והמחוייבות של הנאשם ביחס למשפחתו והצורך שלו לפעול באותם רגעים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מבלי שהפעיל שיקול דעת תקין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בכדי לסייע למשפחתו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szCs w:val="16"/>
        </w:rPr>
      </w:pPr>
      <w:r>
        <w:rPr>
          <w:rFonts w:cs="Arial" w:ascii="Arial" w:hAnsi="Arial"/>
          <w:szCs w:val="16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השירות סבור כי עונש מוחשי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חינוכי והרתעתי של הטלת צו שירות לתועלת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בו כדי לחדד את המחירים להתנהגות דומה וכדי לבטא את תחושות החרטה שמבטא ביחס למעשיו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כן ממליץ השירות להשית על הנאשם 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צ בהיקף </w:t>
      </w:r>
      <w:r>
        <w:rPr>
          <w:rFonts w:cs="Arial" w:ascii="Arial" w:hAnsi="Arial"/>
        </w:rPr>
        <w:t>220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שעות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szCs w:val="16"/>
        </w:rPr>
      </w:pPr>
      <w:r>
        <w:rPr>
          <w:rFonts w:cs="Arial" w:ascii="Arial" w:hAnsi="Arial"/>
          <w:szCs w:val="16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במסגרת טיעוניה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עתרה להשית על הנאשם מאסר בפועל ומאסר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בהתחשב בחומרת המעשים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האינטרס הציבורי המחייב הטלת ענישה מחמירה ולעניין זה הפנתה לפסיקה התומכת בגישתה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szCs w:val="16"/>
        </w:rPr>
      </w:pPr>
      <w:r>
        <w:rPr>
          <w:rFonts w:cs="Arial" w:ascii="Arial" w:hAnsi="Arial"/>
          <w:szCs w:val="16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עתר לאמץ את המלצות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בהתחשב בנימוקים שפורטו בתסקיר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נסיבותיו האישיות והמשפחתיות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הרקע להתרחשות המעשה כמתואר בתסקיר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תיקון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הודאת הנאשם שחסכה זמן שיפוטי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גילו הצעיר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חלוף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ביצוע העבירות וללא הסתבכות נוספת עם רשויות החוק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מנהל אורח חיים נורמטיבי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כיום יותר בוגר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נשוי ואב לשתי בנות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הביע בפניי חרטה כנה על התנהגותו וביקש להתחשב בנסיבותיו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/>
      </w:pPr>
      <w:r>
        <w:rPr>
          <w:rFonts w:ascii="Arial" w:hAnsi="Arial" w:cs="Arial"/>
          <w:rtl w:val="true"/>
        </w:rPr>
        <w:t>אין מחלוקת כי בעבירות של החזקת נשק ללא רשות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מקום להטלת עונשי מאסר לריצוי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גם על מי שזו עבירתו הראשונה </w:t>
      </w:r>
      <w:r>
        <w:rPr>
          <w:rFonts w:cs="Arial" w:ascii="Arial" w:hAnsi="Arial"/>
          <w:rtl w:val="true"/>
        </w:rPr>
        <w:t>(</w:t>
      </w:r>
      <w:hyperlink r:id="rId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2718/04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פואד אבו דאחל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הואיל ויש לתת משקל נכבד ביותר לאינטרס הציבורי ולאינטרס ההרתעתי על פני נסיבותיו של העבריין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/>
      </w:pP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עיקרון הענישה האינדיבידואלית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הינו בעל משקל של ממש כפי שציין כבוד השופט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כתוארו אז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אלון ב</w:t>
      </w:r>
      <w:hyperlink r:id="rId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291/81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>:</w:t>
      </w:r>
    </w:p>
    <w:p>
      <w:pPr>
        <w:pStyle w:val="Normal"/>
        <w:ind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אכן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מקובל עלינו לבוא חשבון – בעת שיקולנו את מידת העונש וטיבו – את הנסיבות האישיות של העבריין ואת הנסיבות המיוחדות של מעשה העבירה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ולשם כך סוקרים אנו גם את עברו ומבקשים לעמוד על המניעים לעבריינותו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 xml:space="preserve">ענישתנו היא ענישה אינדיווידואלית של כל עבריין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באשר הוא שם</w:t>
      </w:r>
      <w:r>
        <w:rPr>
          <w:rFonts w:cs="Arial" w:ascii="Arial" w:hAnsi="Arial"/>
          <w:b/>
          <w:bCs/>
          <w:rtl w:val="true"/>
        </w:rPr>
        <w:t xml:space="preserve">". </w:t>
      </w:r>
      <w:r>
        <w:rPr>
          <w:rFonts w:ascii="Arial" w:hAnsi="Arial" w:cs="Arial"/>
          <w:b/>
          <w:b/>
          <w:bCs/>
          <w:rtl w:val="true"/>
        </w:rPr>
        <w:t>עם זאת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המידה והמשקל של הנסיבות המיוחדות של העבריין נמדדים ונשקלים לאור מהותה ואופיה של העבירה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ועל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פי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הרוב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משקלן המקל של הנסיבות המיוחדות של העבריין פוחת והולך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בה במידה שנסיבות ביצוע העבירה ואופיה החמור גוברים והולכים</w:t>
      </w:r>
      <w:r>
        <w:rPr>
          <w:rFonts w:cs="Arial" w:ascii="Arial" w:hAnsi="Arial"/>
          <w:b/>
          <w:bCs/>
          <w:rtl w:val="true"/>
        </w:rPr>
        <w:t>".</w:t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בנסיבות שהובאו בפניי כמפורט בטיעוני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שוכנעתי שיש לאמץ את המלצת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דהיינו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להשית על הנאשם עונש מוחשי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חינוכי והרתעתי באמצעות צו שירות לתועלת הציבור על פני ענישה מאחורי סורג ובריח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בעיקר בהתחשב בנסיבות והרקע להתרחשות המעשה בו הורשע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כמפורט לעיל וכן גילו הצעיר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עברו הנקי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חלוף הזמן מיום ביצוע העבירות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ללא הסתבכות נוספת עם רשויות החוק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הודאתו שחסכה זמן שיפוטי יקר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החרטה הכנה שהביע בפניי ובפני שירות המבחן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מכל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הנני דן את הנאשם לעונשים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הנאשם יבצע של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צ בהיקף </w:t>
      </w:r>
      <w:r>
        <w:rPr>
          <w:rFonts w:cs="Arial" w:ascii="Arial" w:hAnsi="Arial"/>
          <w:b/>
          <w:bCs/>
        </w:rPr>
        <w:t>220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שעות בהתאם לתוכנית שגובשה על ידי שירות המבחן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cs="Arial" w:ascii="Arial" w:hAnsi="Arial"/>
          <w:b/>
          <w:bCs/>
        </w:rPr>
        <w:t>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על תנאי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למשך </w:t>
      </w:r>
      <w:r>
        <w:rPr>
          <w:rFonts w:cs="Arial" w:ascii="Arial" w:hAnsi="Arial"/>
          <w:b/>
          <w:bCs/>
        </w:rPr>
        <w:t>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שנים מהיום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שלא יעבור עבירה בה הורשע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 xml:space="preserve">קנס בסך </w:t>
      </w:r>
      <w:r>
        <w:rPr>
          <w:rFonts w:cs="Arial" w:ascii="Arial" w:hAnsi="Arial"/>
          <w:b/>
          <w:bCs/>
        </w:rPr>
        <w:t>1,000</w:t>
      </w:r>
      <w:r>
        <w:rPr>
          <w:rFonts w:cs="Arial" w:ascii="Arial" w:hAnsi="Arial"/>
          <w:b/>
          <w:bCs/>
          <w:rtl w:val="true"/>
        </w:rPr>
        <w:t xml:space="preserve"> ₪ </w:t>
      </w:r>
      <w:r>
        <w:rPr>
          <w:rFonts w:ascii="Arial" w:hAnsi="Arial" w:cs="Arial"/>
          <w:b/>
          <w:b/>
          <w:bCs/>
          <w:rtl w:val="true"/>
        </w:rPr>
        <w:t xml:space="preserve">או </w:t>
      </w:r>
      <w:r>
        <w:rPr>
          <w:rFonts w:cs="Arial" w:ascii="Arial" w:hAnsi="Arial"/>
          <w:b/>
          <w:bCs/>
        </w:rPr>
        <w:t>10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ימי מאסר תמורתו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 xml:space="preserve">הקנס ישולם עד ליום </w:t>
      </w:r>
      <w:r>
        <w:rPr>
          <w:rFonts w:cs="Arial" w:ascii="Arial" w:hAnsi="Arial"/>
          <w:b/>
          <w:bCs/>
        </w:rPr>
        <w:t>1.9.09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הוזהר בדבר משמעות הפרת צו השל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צ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עותק מגזר הדין יישלח לשירות המבחן</w:t>
      </w:r>
      <w:r>
        <w:rPr>
          <w:rFonts w:cs="Arial" w:ascii="Arial" w:hAnsi="Arial"/>
          <w:b/>
          <w:bCs/>
          <w:u w:val="single"/>
          <w:rtl w:val="true"/>
        </w:rPr>
        <w:t>.</w:t>
      </w:r>
    </w:p>
    <w:p>
      <w:pPr>
        <w:pStyle w:val="Normal"/>
        <w:suppressLineNumbers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  <w:bookmarkStart w:id="15" w:name="Decision1"/>
      <w:bookmarkStart w:id="16" w:name="Decision1"/>
      <w:bookmarkEnd w:id="16"/>
    </w:p>
    <w:p>
      <w:pPr>
        <w:pStyle w:val="Normal"/>
        <w:suppressLineNumbers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זכות ערעור תוך </w:t>
      </w:r>
      <w:r>
        <w:rPr>
          <w:rFonts w:cs="Arial" w:ascii="Arial" w:hAnsi="Arial"/>
          <w:b/>
          <w:bCs/>
          <w:u w:val="single"/>
        </w:rPr>
        <w:t>45</w:t>
      </w:r>
      <w:r>
        <w:rPr>
          <w:rFonts w:cs="Arial" w:ascii="Arial" w:hAnsi="Arial"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יום</w:t>
      </w:r>
      <w:r>
        <w:rPr>
          <w:rFonts w:cs="Arial" w:ascii="Arial" w:hAnsi="Arial"/>
          <w:b/>
          <w:bCs/>
          <w:u w:val="single"/>
          <w:rtl w:val="true"/>
        </w:rPr>
        <w:t>.</w:t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FFFFFF"/>
          <w:sz w:val="2"/>
          <w:szCs w:val="2"/>
          <w:u w:val="single"/>
        </w:rPr>
      </w:pPr>
      <w:r>
        <w:rPr>
          <w:rFonts w:cs="David" w:ascii="David" w:hAnsi="David"/>
          <w:b/>
          <w:bCs/>
          <w:color w:val="FFFFFF"/>
          <w:sz w:val="2"/>
          <w:szCs w:val="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נ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אבו טהה </w:t>
      </w:r>
      <w:r>
        <w:rPr>
          <w:rFonts w:cs="David" w:ascii="David" w:hAnsi="David"/>
          <w:color w:val="000000"/>
          <w:sz w:val="22"/>
          <w:szCs w:val="22"/>
        </w:rPr>
        <w:t>54678313-2624/06</w:t>
      </w:r>
    </w:p>
    <w:p>
      <w:pPr>
        <w:pStyle w:val="Normal"/>
        <w:suppressLineNumbers/>
        <w:ind w:end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  <w:rtl w:val="true"/>
        </w:rPr>
      </w:r>
    </w:p>
    <w:tbl>
      <w:tblPr>
        <w:bidiVisual w:val="true"/>
        <w:tblW w:w="2235" w:type="dxa"/>
        <w:jc w:val="start"/>
        <w:tblInd w:w="3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</w:tblGrid>
      <w:tr>
        <w:trPr/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ניתנה היום כ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ב בתמוז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תשס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ט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cs="Arial" w:ascii="Arial" w:hAnsi="Arial"/>
                <w:b/>
                <w:bCs/>
              </w:rPr>
              <w:t>14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ביולי </w:t>
            </w:r>
            <w:r>
              <w:rPr>
                <w:rFonts w:cs="Arial" w:ascii="Arial" w:hAnsi="Arial"/>
                <w:b/>
                <w:bCs/>
              </w:rPr>
              <w:t>2009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)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במעמד הצדדים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אבו טהה נסר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5">
        <w:r>
          <w:rPr>
            <w:rStyle w:val="Hyperlink"/>
            <w:color w:val="0000FF"/>
            <w:u w:val="single"/>
            <w:rtl w:val="true"/>
          </w:rPr>
          <w:t>הודעה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למנויים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6"/>
      <w:footerReference w:type="default" r:id="rId7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4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/Users/liorb/Downloads/study2025-p2/s06002624-80.doc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2624/06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אלקרינאוי אמיר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Style11">
    <w:name w:val="גופן ברירת המחדל של פיסקה"/>
    <w:qFormat/>
    <w:rPr/>
  </w:style>
  <w:style w:type="character" w:styleId="PageNumber">
    <w:name w:val="page number"/>
    <w:basedOn w:val="Style11"/>
    <w:rPr>
      <w:rFonts w:cs="David"/>
    </w:rPr>
  </w:style>
  <w:style w:type="character" w:styleId="Hyperlink">
    <w:name w:val="Hyperlink"/>
    <w:basedOn w:val="Style11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ind w:hanging="0" w:start="0" w:end="0"/>
      <w:jc w:val="center"/>
    </w:pPr>
    <w:rPr>
      <w:b/>
      <w:bCs/>
      <w:sz w:val="34"/>
      <w:szCs w:val="32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0" w:start="1080" w:end="0"/>
      <w:jc w:val="both"/>
    </w:pPr>
    <w:rPr/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inks/psika/?link=&#1512;&#1506;&#1508;%202718/04" TargetMode="External"/><Relationship Id="rId4" Type="http://schemas.openxmlformats.org/officeDocument/2006/relationships/hyperlink" Target="http://www.nevo.co.il/links/psika/?link=&#1506;&#1508;%20291/81" TargetMode="External"/><Relationship Id="rId5" Type="http://schemas.openxmlformats.org/officeDocument/2006/relationships/hyperlink" Target="http://www.nevo.co.il/advertisements/nevo-100.doc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2009-07-14T18:58:00Z</dcterms:created>
  <dc:creator> </dc:creator>
  <dc:description/>
  <cp:keywords/>
  <dc:language>en-IL</dc:language>
  <cp:lastModifiedBy>user</cp:lastModifiedBy>
  <cp:lastPrinted>2009-07-14T11:12:00Z</cp:lastPrinted>
  <dcterms:modified xsi:type="dcterms:W3CDTF">2009-07-14T21:31:00Z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אלקרינאוי אמיר</vt:lpwstr>
  </property>
  <property fmtid="{D5CDD505-2E9C-101B-9397-08002B2CF9AE}" pid="4" name="CITY">
    <vt:lpwstr>ב"ש</vt:lpwstr>
  </property>
  <property fmtid="{D5CDD505-2E9C-101B-9397-08002B2CF9AE}" pid="5" name="DATE">
    <vt:lpwstr>20090714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נ. אבו טהה</vt:lpwstr>
  </property>
  <property fmtid="{D5CDD505-2E9C-101B-9397-08002B2CF9AE}" pid="9" name="LAWYER">
    <vt:lpwstr>הדס הוס;נאווה זרנגר;רונן טל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2624</vt:lpwstr>
  </property>
  <property fmtid="{D5CDD505-2E9C-101B-9397-08002B2CF9AE}" pid="31" name="PROCYEAR">
    <vt:lpwstr>06</vt:lpwstr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380020090714</vt:lpwstr>
  </property>
  <property fmtid="{D5CDD505-2E9C-101B-9397-08002B2CF9AE}" pid="35" name="TYPE_N_DATE">
    <vt:lpwstr>38020090714</vt:lpwstr>
  </property>
  <property fmtid="{D5CDD505-2E9C-101B-9397-08002B2CF9AE}" pid="36" name="VOLUME">
    <vt:lpwstr/>
  </property>
  <property fmtid="{D5CDD505-2E9C-101B-9397-08002B2CF9AE}" pid="37" name="WORDNUMPAGES">
    <vt:lpwstr>3</vt:lpwstr>
  </property>
</Properties>
</file>