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24"/>
        </w:rPr>
      </w:pPr>
      <w:bookmarkStart w:id="0" w:name="LastJudge"/>
      <w:bookmarkEnd w:id="0"/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003498/07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טהה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09/10/2007</w:t>
            </w:r>
          </w:p>
        </w:tc>
      </w:tr>
    </w:tbl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324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אוהד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סלמי</w:t>
            </w:r>
          </w:p>
        </w:tc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צאלח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עצור</w:t>
            </w:r>
            <w:r>
              <w:rPr>
                <w:rtl w:val="true"/>
              </w:rPr>
              <w:t xml:space="preserve">)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אלעטאונה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נאסר</w:t>
            </w:r>
          </w:p>
        </w:tc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5" w:name="LastJudge"/>
      <w:bookmarkStart w:id="16" w:name="PsakDin"/>
      <w:bookmarkStart w:id="17" w:name="סוג_מסמך"/>
      <w:bookmarkEnd w:id="15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8" w:name="PsakDin"/>
      <w:bookmarkStart w:id="19" w:name="ABSTRACT_START"/>
      <w:bookmarkEnd w:id="18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0" w:name="ABSTRACT_END"/>
      <w:bookmarkStart w:id="21" w:name="ABSTRACT_END"/>
      <w:bookmarkEnd w:id="21"/>
    </w:p>
    <w:p>
      <w:pPr>
        <w:pStyle w:val="BodyText"/>
        <w:ind w:end="0"/>
        <w:jc w:val="start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08.09.07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BodyText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אהובתו</w:t>
      </w:r>
      <w:r>
        <w:rPr>
          <w:rtl w:val="true"/>
        </w:rPr>
        <w:t xml:space="preserve">,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BodyText"/>
        <w:ind w:end="0"/>
        <w:jc w:val="start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הכניסה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כחוק</w:t>
      </w:r>
      <w:r>
        <w:rPr>
          <w:u w:val="single"/>
          <w:rtl w:val="true"/>
        </w:rPr>
        <w:t>:</w:t>
      </w:r>
    </w:p>
    <w:p>
      <w:pPr>
        <w:pStyle w:val="Normal"/>
        <w:spacing w:before="0" w:after="120"/>
        <w:ind w:end="720"/>
        <w:jc w:val="start"/>
        <w:rPr>
          <w:sz w:val="24"/>
        </w:rPr>
      </w:pPr>
      <w:r>
        <w:rPr>
          <w:sz w:val="24"/>
          <w:sz w:val="24"/>
          <w:rtl w:val="true"/>
        </w:rPr>
        <w:t>פסיקת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התופעה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המשבשת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ומכבידה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איתורם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הנכנסים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ביטחוניות</w:t>
      </w:r>
      <w:r>
        <w:rPr>
          <w:sz w:val="24"/>
          <w:rtl w:val="true"/>
        </w:rPr>
        <w:t xml:space="preserve">. </w:t>
      </w:r>
    </w:p>
    <w:p>
      <w:pPr>
        <w:pStyle w:val="Normal"/>
        <w:spacing w:before="0" w:after="120"/>
        <w:ind w:end="0"/>
        <w:jc w:val="start"/>
        <w:rPr/>
      </w:pP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6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6244/02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בירושלים</w:t>
      </w:r>
      <w:r>
        <w:rPr>
          <w:sz w:val="24"/>
          <w:rtl w:val="true"/>
        </w:rPr>
        <w:t xml:space="preserve">: </w:t>
      </w:r>
    </w:p>
    <w:p>
      <w:pPr>
        <w:pStyle w:val="Normal"/>
        <w:spacing w:before="0" w:after="120"/>
        <w:ind w:end="0"/>
        <w:jc w:val="start"/>
        <w:rPr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נפוצות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המתבצעות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מאפשרת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פתיחות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וסובלנות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כניסה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כחוק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מכבידה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כוחות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הביטחון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ומסכנת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הציבור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יחסית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המשיבים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מחטיאה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מטרתה</w:t>
      </w:r>
      <w:r>
        <w:rPr>
          <w:b/>
          <w:bCs/>
          <w:sz w:val="24"/>
          <w:rtl w:val="true"/>
        </w:rPr>
        <w:t xml:space="preserve">". </w:t>
      </w:r>
    </w:p>
    <w:p>
      <w:pPr>
        <w:pStyle w:val="Normal"/>
        <w:ind w:hanging="567" w:start="658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567" w:start="658" w:end="0"/>
        <w:jc w:val="start"/>
        <w:rPr>
          <w:u w:val="single"/>
        </w:rPr>
      </w:pP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u w:val="single"/>
          <w:rtl w:val="true"/>
        </w:rPr>
        <w:t>:</w:t>
      </w:r>
    </w:p>
    <w:p>
      <w:pPr>
        <w:pStyle w:val="Normal"/>
        <w:ind w:hanging="567" w:start="658" w:end="0"/>
        <w:jc w:val="start"/>
        <w:rPr/>
      </w:pP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</w:p>
    <w:p>
      <w:pPr>
        <w:pStyle w:val="Normal"/>
        <w:ind w:hanging="567" w:start="658" w:end="0"/>
        <w:jc w:val="start"/>
        <w:rPr/>
      </w:pP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sz w:val="30"/>
          <w:sz w:val="30"/>
          <w:rtl w:val="true"/>
        </w:rPr>
        <w:t>ע</w:t>
      </w:r>
      <w:r>
        <w:rPr>
          <w:sz w:val="30"/>
          <w:rtl w:val="true"/>
        </w:rPr>
        <w:t>"</w:t>
      </w:r>
      <w:r>
        <w:rPr>
          <w:sz w:val="30"/>
          <w:sz w:val="30"/>
          <w:rtl w:val="true"/>
        </w:rPr>
        <w:t>פ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</w:rPr>
        <w:t>972</w:t>
      </w:r>
      <w:r>
        <w:rPr>
          <w:sz w:val="30"/>
          <w:rtl w:val="true"/>
        </w:rPr>
        <w:t xml:space="preserve"> ,</w:t>
      </w:r>
      <w:r>
        <w:rPr>
          <w:sz w:val="30"/>
        </w:rPr>
        <w:t>910/85</w:t>
      </w:r>
      <w:r>
        <w:rPr>
          <w:sz w:val="30"/>
          <w:rtl w:val="true"/>
        </w:rPr>
        <w:t xml:space="preserve">  </w:t>
      </w:r>
      <w:r>
        <w:rPr>
          <w:sz w:val="30"/>
          <w:sz w:val="30"/>
          <w:u w:val="single"/>
          <w:rtl w:val="true"/>
        </w:rPr>
        <w:t>אברהים</w:t>
      </w:r>
      <w:r>
        <w:rPr>
          <w:rFonts w:cs="Times New Roman"/>
          <w:sz w:val="30"/>
          <w:sz w:val="30"/>
          <w:u w:val="single"/>
          <w:rtl w:val="true"/>
        </w:rPr>
        <w:t xml:space="preserve"> </w:t>
      </w:r>
      <w:r>
        <w:rPr>
          <w:sz w:val="30"/>
          <w:sz w:val="30"/>
          <w:u w:val="single"/>
          <w:rtl w:val="true"/>
        </w:rPr>
        <w:t>קונדוס</w:t>
      </w:r>
      <w:r>
        <w:rPr>
          <w:rFonts w:cs="Times New Roman"/>
          <w:sz w:val="30"/>
          <w:sz w:val="30"/>
          <w:u w:val="single"/>
          <w:rtl w:val="true"/>
        </w:rPr>
        <w:t xml:space="preserve"> </w:t>
      </w:r>
      <w:r>
        <w:rPr>
          <w:sz w:val="30"/>
          <w:sz w:val="30"/>
          <w:u w:val="single"/>
          <w:rtl w:val="true"/>
        </w:rPr>
        <w:t>ואח</w:t>
      </w:r>
      <w:r>
        <w:rPr>
          <w:sz w:val="30"/>
          <w:u w:val="single"/>
          <w:rtl w:val="true"/>
        </w:rPr>
        <w:t>'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נ</w:t>
      </w:r>
      <w:r>
        <w:rPr>
          <w:sz w:val="30"/>
          <w:rtl w:val="true"/>
        </w:rPr>
        <w:t xml:space="preserve">' </w:t>
      </w:r>
      <w:r>
        <w:rPr>
          <w:sz w:val="30"/>
          <w:sz w:val="30"/>
          <w:u w:val="single"/>
          <w:rtl w:val="true"/>
        </w:rPr>
        <w:t>מדינת</w:t>
      </w:r>
      <w:r>
        <w:rPr>
          <w:rFonts w:cs="Times New Roman"/>
          <w:sz w:val="30"/>
          <w:sz w:val="30"/>
          <w:u w:val="single"/>
          <w:rtl w:val="true"/>
        </w:rPr>
        <w:t xml:space="preserve"> </w:t>
      </w:r>
      <w:r>
        <w:rPr>
          <w:sz w:val="30"/>
          <w:sz w:val="30"/>
          <w:u w:val="single"/>
          <w:rtl w:val="true"/>
        </w:rPr>
        <w:t>ישראל</w:t>
      </w:r>
    </w:p>
    <w:p>
      <w:pPr>
        <w:pStyle w:val="Normal"/>
        <w:ind w:hanging="567" w:start="658" w:end="0"/>
        <w:jc w:val="start"/>
        <w:rPr>
          <w:sz w:val="30"/>
        </w:rPr>
      </w:pPr>
      <w:r>
        <w:rPr>
          <w:sz w:val="30"/>
          <w:sz w:val="30"/>
          <w:rtl w:val="true"/>
        </w:rPr>
        <w:t>תק</w:t>
      </w:r>
      <w:r>
        <w:rPr>
          <w:sz w:val="30"/>
          <w:rtl w:val="true"/>
        </w:rPr>
        <w:t>-</w:t>
      </w:r>
      <w:r>
        <w:rPr>
          <w:sz w:val="30"/>
          <w:sz w:val="30"/>
          <w:rtl w:val="true"/>
        </w:rPr>
        <w:t>על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</w:rPr>
        <w:t>86</w:t>
      </w:r>
      <w:r>
        <w:rPr>
          <w:sz w:val="30"/>
          <w:rtl w:val="true"/>
        </w:rPr>
        <w:t>(</w:t>
      </w:r>
      <w:r>
        <w:rPr>
          <w:sz w:val="30"/>
        </w:rPr>
        <w:t>2</w:t>
      </w:r>
      <w:r>
        <w:rPr>
          <w:sz w:val="30"/>
          <w:rtl w:val="true"/>
        </w:rPr>
        <w:t xml:space="preserve">), </w:t>
      </w:r>
      <w:r>
        <w:rPr>
          <w:sz w:val="30"/>
        </w:rPr>
        <w:t>670</w:t>
      </w:r>
      <w:r>
        <w:rPr>
          <w:sz w:val="30"/>
          <w:rtl w:val="true"/>
        </w:rPr>
        <w:t xml:space="preserve"> ,</w:t>
      </w:r>
      <w:r>
        <w:rPr>
          <w:sz w:val="30"/>
          <w:sz w:val="30"/>
          <w:rtl w:val="true"/>
        </w:rPr>
        <w:t>עמ</w:t>
      </w:r>
      <w:r>
        <w:rPr>
          <w:sz w:val="30"/>
          <w:rtl w:val="true"/>
        </w:rPr>
        <w:t xml:space="preserve">' </w:t>
      </w:r>
      <w:r>
        <w:rPr>
          <w:sz w:val="30"/>
        </w:rPr>
        <w:t>671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מפי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השופט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ג</w:t>
      </w:r>
      <w:r>
        <w:rPr>
          <w:sz w:val="30"/>
          <w:rtl w:val="true"/>
        </w:rPr>
        <w:t xml:space="preserve">' </w:t>
      </w:r>
      <w:r>
        <w:rPr>
          <w:sz w:val="30"/>
          <w:sz w:val="30"/>
          <w:rtl w:val="true"/>
        </w:rPr>
        <w:t>בך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אליו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הסכימו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המשנה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לנשיא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השופטת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מ</w:t>
      </w:r>
      <w:r>
        <w:rPr>
          <w:sz w:val="30"/>
          <w:rtl w:val="true"/>
        </w:rPr>
        <w:t xml:space="preserve">' </w:t>
      </w:r>
      <w:r>
        <w:rPr>
          <w:sz w:val="30"/>
          <w:sz w:val="30"/>
          <w:rtl w:val="true"/>
        </w:rPr>
        <w:t>בן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פורת</w:t>
      </w:r>
    </w:p>
    <w:p>
      <w:pPr>
        <w:pStyle w:val="Normal"/>
        <w:ind w:hanging="567" w:start="658" w:end="0"/>
        <w:jc w:val="start"/>
        <w:rPr>
          <w:sz w:val="30"/>
        </w:rPr>
      </w:pPr>
      <w:r>
        <w:rPr>
          <w:sz w:val="30"/>
          <w:sz w:val="30"/>
          <w:rtl w:val="true"/>
        </w:rPr>
        <w:t>השופט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כתוארו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אז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א</w:t>
      </w:r>
      <w:r>
        <w:rPr>
          <w:sz w:val="30"/>
          <w:rtl w:val="true"/>
        </w:rPr>
        <w:t xml:space="preserve">' </w:t>
      </w:r>
      <w:r>
        <w:rPr>
          <w:sz w:val="30"/>
          <w:sz w:val="30"/>
          <w:rtl w:val="true"/>
        </w:rPr>
        <w:t>ברק</w:t>
      </w:r>
      <w:r>
        <w:rPr>
          <w:sz w:val="30"/>
          <w:rtl w:val="true"/>
        </w:rPr>
        <w:t>):</w:t>
      </w:r>
    </w:p>
    <w:p>
      <w:pPr>
        <w:pStyle w:val="Normal"/>
        <w:ind w:hanging="567" w:start="658"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Style16"/>
        <w:ind w:start="720" w:end="1418"/>
        <w:jc w:val="both"/>
        <w:rPr>
          <w:sz w:val="30"/>
        </w:rPr>
      </w:pP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מהעובדה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נפוצה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מסכנת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רצינית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ידועים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חשוב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שתחדור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תושבי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הידיעה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שביודעין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צפוי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מכאיב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אפילו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ומוגדר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>."</w:t>
      </w:r>
    </w:p>
    <w:p>
      <w:pPr>
        <w:pStyle w:val="Normal"/>
        <w:ind w:hanging="720" w:start="720"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חמש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tl w:val="true"/>
        </w:rPr>
        <w:t xml:space="preserve">, </w:t>
      </w:r>
      <w:r>
        <w:rPr>
          <w:rtl w:val="true"/>
        </w:rPr>
        <w:t>תמיד</w:t>
      </w:r>
      <w:r>
        <w:rPr>
          <w:rtl w:val="true"/>
        </w:rPr>
        <w:t xml:space="preserve">,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",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ולצידם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, "</w:t>
      </w:r>
      <w:r>
        <w:rPr>
          <w:b/>
          <w:b/>
          <w:bCs/>
          <w:rtl w:val="true"/>
        </w:rPr>
        <w:t>הרוכש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דינו</w:t>
      </w:r>
    </w:p>
    <w:p>
      <w:pPr>
        <w:pStyle w:val="Normal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start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ובמגמת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בחרטתו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b/>
          <w:bCs/>
        </w:rPr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Cs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08.09.07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bookmarkStart w:id="22" w:name="Decision2"/>
      <w:bookmarkEnd w:id="22"/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3" w:name="Decision2"/>
      <w:bookmarkStart w:id="24" w:name="Decision2"/>
      <w:bookmarkEnd w:id="24"/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  <w:bookmarkStart w:id="25" w:name="Decision3"/>
      <w:bookmarkStart w:id="26" w:name="Decision3"/>
      <w:bookmarkEnd w:id="26"/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center"/>
        <w:rPr>
          <w:b/>
          <w:bCs/>
          <w:sz w:val="26"/>
          <w:szCs w:val="28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sz w:val="34"/>
          <w:sz w:val="34"/>
          <w:szCs w:val="32"/>
          <w:u w:val="single"/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אבו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טהה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54678313-3498/07</w:t>
      </w:r>
    </w:p>
    <w:p>
      <w:pPr>
        <w:pStyle w:val="Normal"/>
        <w:suppressLineNumbers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בתשרי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באוקטובר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2007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Style11"/>
        <w:ind w:end="0"/>
        <w:jc w:val="start"/>
        <w:rPr/>
      </w:pPr>
      <w:r>
        <w:rPr>
          <w:rtl w:val="true"/>
        </w:rPr>
      </w:r>
      <w:bookmarkStart w:id="27" w:name="Decision3"/>
      <w:bookmarkStart w:id="28" w:name="Decision3"/>
      <w:bookmarkEnd w:id="2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003498/07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עינת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חייט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/Users/liorb/Downloads/study2025-p2/s07003498-194.doc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3498/07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צאלח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חוסאם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start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start"/>
    </w:pPr>
    <w:rPr/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Style16">
    <w:name w:val="צטוט"/>
    <w:basedOn w:val="Normal"/>
    <w:qFormat/>
    <w:pPr>
      <w:spacing w:before="0" w:after="120"/>
      <w:ind w:hanging="0" w:start="1418" w:end="1418"/>
      <w:jc w:val="both"/>
    </w:pPr>
    <w:rPr>
      <w:bCs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9072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6055365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2016-04-07T10:54:00Z</dcterms:created>
  <dc:creator> </dc:creator>
  <dc:description/>
  <cp:keywords/>
  <dc:language>en-IL</dc:language>
  <cp:lastModifiedBy>hofit</cp:lastModifiedBy>
  <cp:lastPrinted>2007-10-09T15:19:00Z</cp:lastPrinted>
  <dcterms:modified xsi:type="dcterms:W3CDTF">2016-04-07T10:54:00Z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צאלח חוסאם</vt:lpwstr>
  </property>
  <property fmtid="{D5CDD505-2E9C-101B-9397-08002B2CF9AE}" pid="4" name="CASESLISTTMP1">
    <vt:lpwstr>6055365</vt:lpwstr>
  </property>
  <property fmtid="{D5CDD505-2E9C-101B-9397-08002B2CF9AE}" pid="5" name="CITY">
    <vt:lpwstr>ב"ש</vt:lpwstr>
  </property>
  <property fmtid="{D5CDD505-2E9C-101B-9397-08002B2CF9AE}" pid="6" name="DATE">
    <vt:lpwstr>20071009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נ. אבו טהה</vt:lpwstr>
  </property>
  <property fmtid="{D5CDD505-2E9C-101B-9397-08002B2CF9AE}" pid="10" name="LAWLISTTMP1">
    <vt:lpwstr>90721:2</vt:lpwstr>
  </property>
  <property fmtid="{D5CDD505-2E9C-101B-9397-08002B2CF9AE}" pid="11" name="LAWLISTTMP2">
    <vt:lpwstr>70301:3</vt:lpwstr>
  </property>
  <property fmtid="{D5CDD505-2E9C-101B-9397-08002B2CF9AE}" pid="12" name="LAWYER">
    <vt:lpwstr>אוהד סלמי;אלעטאונה נאסר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3498</vt:lpwstr>
  </property>
  <property fmtid="{D5CDD505-2E9C-101B-9397-08002B2CF9AE}" pid="30" name="PROCYEAR">
    <vt:lpwstr>07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