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472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09"/>
        <w:gridCol w:w="4678"/>
        <w:gridCol w:w="850"/>
        <w:gridCol w:w="2235"/>
      </w:tblGrid>
      <w:tr>
        <w:trPr>
          <w:trHeight w:val="195" w:hRule="atLeast"/>
        </w:trPr>
        <w:tc>
          <w:tcPr>
            <w:tcW w:w="5387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בבאר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שבע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b/>
                <w:bCs/>
                <w:sz w:val="24"/>
                <w:rtl w:val="true"/>
              </w:rPr>
              <w:t xml:space="preserve">'  </w:t>
            </w:r>
            <w:r>
              <w:rPr>
                <w:b/>
                <w:bCs/>
                <w:sz w:val="24"/>
              </w:rPr>
              <w:t>008051/09</w:t>
            </w:r>
          </w:p>
        </w:tc>
      </w:tr>
      <w:tr>
        <w:trPr>
          <w:trHeight w:val="195" w:hRule="atLeast"/>
        </w:trPr>
        <w:tc>
          <w:tcPr>
            <w:tcW w:w="5387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ind w:end="0"/>
              <w:jc w:val="both"/>
              <w:rPr/>
            </w:pPr>
            <w:r>
              <w:rPr>
                <w:rtl w:val="true"/>
              </w:rPr>
              <w:t>כב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זלוצ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ובר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06/01/2010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06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01"/>
        <w:gridCol w:w="3063"/>
        <w:gridCol w:w="2324"/>
      </w:tblGrid>
      <w:tr>
        <w:trPr/>
        <w:tc>
          <w:tcPr>
            <w:tcW w:w="1418" w:type="dxa"/>
            <w:tcBorders/>
          </w:tcPr>
          <w:p>
            <w:pPr>
              <w:pStyle w:val="Style8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764" w:type="dxa"/>
            <w:gridSpan w:val="2"/>
            <w:tcBorders/>
          </w:tcPr>
          <w:p>
            <w:pPr>
              <w:pStyle w:val="Style8"/>
              <w:ind w:end="0"/>
              <w:jc w:val="both"/>
              <w:rPr/>
            </w:pPr>
            <w:bookmarkStart w:id="1" w:name="שם_א"/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bookmarkEnd w:id="1"/>
          </w:p>
        </w:tc>
        <w:tc>
          <w:tcPr>
            <w:tcW w:w="2324" w:type="dxa"/>
            <w:tcBorders/>
          </w:tcPr>
          <w:p>
            <w:pPr>
              <w:pStyle w:val="Style8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2" w:name="FirstLawyer"/>
            <w:bookmarkStart w:id="3" w:name="FirstAppellant"/>
            <w:bookmarkStart w:id="4" w:name="FirstLawyer"/>
            <w:bookmarkStart w:id="5" w:name="FirstAppellant"/>
            <w:bookmarkEnd w:id="4"/>
            <w:bookmarkEnd w:id="5"/>
          </w:p>
        </w:tc>
        <w:tc>
          <w:tcPr>
            <w:tcW w:w="1701" w:type="dxa"/>
            <w:tcBorders/>
          </w:tcPr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8"/>
              <w:ind w:end="0"/>
              <w:jc w:val="both"/>
              <w:rPr/>
            </w:pPr>
            <w:bookmarkStart w:id="6" w:name="בא_כוח_א"/>
            <w:r>
              <w:rPr>
                <w:rtl w:val="true"/>
              </w:rPr>
              <w:t>שרה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  <w:bookmarkEnd w:id="6"/>
          </w:p>
        </w:tc>
        <w:tc>
          <w:tcPr>
            <w:tcW w:w="2324" w:type="dxa"/>
            <w:tcBorders/>
          </w:tcPr>
          <w:p>
            <w:pPr>
              <w:pStyle w:val="Style8"/>
              <w:ind w:end="0"/>
              <w:jc w:val="both"/>
              <w:rPr/>
            </w:pPr>
            <w:bookmarkStart w:id="7" w:name="כינוי_א"/>
            <w:r>
              <w:rPr>
                <w:rtl w:val="true"/>
              </w:rPr>
              <w:t>המאשימה</w:t>
            </w:r>
            <w:bookmarkEnd w:id="7"/>
          </w:p>
        </w:tc>
      </w:tr>
      <w:tr>
        <w:trPr/>
        <w:tc>
          <w:tcPr>
            <w:tcW w:w="1418" w:type="dxa"/>
            <w:tcBorders/>
          </w:tcPr>
          <w:p>
            <w:pPr>
              <w:pStyle w:val="Style8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764" w:type="dxa"/>
            <w:gridSpan w:val="2"/>
            <w:tcBorders/>
          </w:tcPr>
          <w:p>
            <w:pPr>
              <w:pStyle w:val="Style8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324" w:type="dxa"/>
            <w:tcBorders/>
          </w:tcPr>
          <w:p>
            <w:pPr>
              <w:pStyle w:val="Style8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764" w:type="dxa"/>
            <w:gridSpan w:val="2"/>
            <w:tcBorders/>
          </w:tcPr>
          <w:p>
            <w:pPr>
              <w:pStyle w:val="Style8"/>
              <w:ind w:end="0"/>
              <w:jc w:val="both"/>
              <w:rPr/>
            </w:pPr>
            <w:bookmarkStart w:id="8" w:name="שם_ב"/>
            <w:r>
              <w:rPr>
                <w:rtl w:val="true"/>
              </w:rPr>
              <w:t>מוחייה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אלכמלאת</w:t>
            </w:r>
            <w:bookmarkEnd w:id="8"/>
          </w:p>
        </w:tc>
        <w:tc>
          <w:tcPr>
            <w:tcW w:w="2324" w:type="dxa"/>
            <w:tcBorders/>
          </w:tcPr>
          <w:p>
            <w:pPr>
              <w:pStyle w:val="Style8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01" w:type="dxa"/>
            <w:tcBorders/>
          </w:tcPr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8"/>
              <w:ind w:end="0"/>
              <w:jc w:val="both"/>
              <w:rPr/>
            </w:pPr>
            <w:bookmarkStart w:id="9" w:name="בא_כוח_ב"/>
            <w:r>
              <w:rPr>
                <w:rtl w:val="true"/>
              </w:rPr>
              <w:t>דן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גרובס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מטעם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אבישור</w:t>
            </w:r>
            <w:bookmarkEnd w:id="9"/>
          </w:p>
        </w:tc>
        <w:tc>
          <w:tcPr>
            <w:tcW w:w="2324" w:type="dxa"/>
            <w:tcBorders/>
          </w:tcPr>
          <w:p>
            <w:pPr>
              <w:pStyle w:val="Style8"/>
              <w:ind w:end="0"/>
              <w:jc w:val="both"/>
              <w:rPr/>
            </w:pPr>
            <w:bookmarkStart w:id="10" w:name="כינוי_ב"/>
            <w:r>
              <w:rPr>
                <w:rtl w:val="true"/>
              </w:rPr>
              <w:t>הנאשם</w:t>
            </w:r>
            <w:bookmarkEnd w:id="10"/>
          </w:p>
        </w:tc>
      </w:tr>
    </w:tbl>
    <w:p>
      <w:pPr>
        <w:pStyle w:val="Heading1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1" w:name="סוג_מסמך"/>
      <w:bookmarkStart w:id="12" w:name="סוג_מסמך"/>
      <w:bookmarkEnd w:id="12"/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15-03-2009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בש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20438/09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מוחיית אלכמאלת בן מוחסן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צלקובניק יורם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ברסאנו ענבל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אבישור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start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3" w:name="Links_Start"/>
      <w:bookmarkStart w:id="14" w:name="Links_Start"/>
      <w:bookmarkEnd w:id="14"/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15-03-2009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בש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20438/09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מוחיית אלכמאלת בן מוחסן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צלקובניק יורם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ברסאנו ענבל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אבישור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27-04-2009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3348/09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מוחייה אלכמלאת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נאור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שאול כהן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רון אבישור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לפסק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-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דין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29-11-2010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1394/10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מוחייה אלכמלאת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לוי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גרוניס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ארבל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שירות המבחן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מאיה חדד גב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ברכה וייס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אבישור רון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start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5" w:name="Links_End"/>
      <w:bookmarkStart w:id="16" w:name="Links_End"/>
      <w:bookmarkEnd w:id="16"/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start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bookmarkStart w:id="17" w:name="Links_Start"/>
      <w:bookmarkEnd w:id="17"/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27-04-2009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3348/09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מוחייה אלכמלאת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נאור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שאול כהן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רון אבישור </w:t>
      </w:r>
      <w:bookmarkStart w:id="18" w:name="LawTable"/>
      <w:bookmarkEnd w:id="18"/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7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1977</w:t>
        </w:r>
      </w:hyperlink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9" w:name="LawTable_End"/>
      <w:bookmarkStart w:id="20" w:name="LawTable_End"/>
      <w:bookmarkEnd w:id="20"/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21" w:name="LastJudge"/>
      <w:bookmarkStart w:id="22" w:name="סוג_מסמך"/>
      <w:bookmarkStart w:id="23" w:name="PsakDin"/>
      <w:bookmarkEnd w:id="21"/>
      <w:bookmarkEnd w:id="22"/>
      <w:bookmarkEnd w:id="23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4" w:name="PsakDin"/>
      <w:bookmarkStart w:id="25" w:name="PsakDin"/>
      <w:bookmarkEnd w:id="25"/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5.3.09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bookmarkStart w:id="26" w:name="ABSTRACT_START"/>
      <w:bookmarkEnd w:id="26"/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329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413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).</w:t>
      </w:r>
    </w:p>
    <w:p>
      <w:pPr>
        <w:pStyle w:val="Heading5"/>
        <w:ind w:end="0"/>
        <w:jc w:val="both"/>
        <w:rPr/>
      </w:pPr>
      <w:r>
        <w:rPr>
          <w:rtl w:val="true"/>
        </w:rPr>
      </w:r>
      <w:bookmarkStart w:id="27" w:name="ABSTRACT_END"/>
      <w:bookmarkStart w:id="28" w:name="ABSTRACT_END"/>
      <w:bookmarkEnd w:id="28"/>
    </w:p>
    <w:p>
      <w:pPr>
        <w:pStyle w:val="Normal"/>
        <w:ind w:start="1080" w:end="0"/>
        <w:jc w:val="both"/>
        <w:rPr/>
      </w:pP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244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/>
        <w:t>244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ז</w:t>
      </w:r>
      <w:r>
        <w:rPr>
          <w:rtl w:val="true"/>
        </w:rPr>
        <w:t>.).</w:t>
      </w:r>
    </w:p>
    <w:p>
      <w:pPr>
        <w:pStyle w:val="Heading6"/>
        <w:ind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השלישי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499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ind w:firstLine="360" w:start="72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16.9.09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329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/>
        <w:t>329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413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244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499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: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אלכמלאת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שלטענתם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אלכמלאת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1.1.09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19:30</w:t>
      </w:r>
      <w:r>
        <w:rPr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בשכונה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ברהט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מהטיעונים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היריב</w:t>
      </w:r>
      <w:r>
        <w:rPr>
          <w:rtl w:val="true"/>
        </w:rPr>
        <w:t xml:space="preserve">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20:30</w:t>
      </w:r>
      <w:r>
        <w:rPr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שמשות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סורוקה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נותח</w:t>
      </w:r>
      <w:r>
        <w:rPr>
          <w:rtl w:val="true"/>
        </w:rPr>
        <w:t xml:space="preserve">, </w:t>
      </w:r>
      <w:r>
        <w:rPr>
          <w:rtl w:val="true"/>
        </w:rPr>
        <w:t>הפצע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ונוכה</w:t>
      </w:r>
      <w:r>
        <w:rPr>
          <w:rtl w:val="true"/>
        </w:rPr>
        <w:t xml:space="preserve">,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3.1.09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8.1.09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9.1.09</w:t>
      </w:r>
      <w:r>
        <w:rPr>
          <w:rtl w:val="true"/>
        </w:rPr>
        <w:t xml:space="preserve"> </w:t>
      </w:r>
      <w:r>
        <w:rPr>
          <w:rtl w:val="true"/>
        </w:rPr>
        <w:t>עלא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המכולת</w:t>
      </w:r>
      <w:r>
        <w:rPr>
          <w:rtl w:val="true"/>
        </w:rPr>
        <w:t xml:space="preserve">. </w:t>
      </w:r>
      <w:r>
        <w:rPr>
          <w:rtl w:val="true"/>
        </w:rPr>
        <w:t>מייד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10.1.09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לעלא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2.2.09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אלכמלאת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לסברי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3.2.09</w:t>
      </w:r>
      <w:r>
        <w:rPr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אלכמלאת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10.2.09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)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6.7.09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379</w:t>
      </w:r>
      <w:r>
        <w:rPr>
          <w:rtl w:val="true"/>
        </w:rPr>
        <w:t xml:space="preserve"> + </w:t>
      </w:r>
      <w:r>
        <w:rPr/>
        <w:t>382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13.9.06</w:t>
      </w:r>
      <w:r>
        <w:rPr>
          <w:rtl w:val="true"/>
        </w:rPr>
        <w:t xml:space="preserve">.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מספטמבר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ושמירה</w:t>
      </w:r>
      <w:r>
        <w:rPr>
          <w:rtl w:val="true"/>
        </w:rPr>
        <w:t xml:space="preserve">.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ובמודעותו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מהודאתו</w:t>
      </w:r>
      <w:r>
        <w:rPr>
          <w:rtl w:val="true"/>
        </w:rPr>
        <w:t xml:space="preserve">, </w:t>
      </w:r>
      <w:r>
        <w:rPr>
          <w:rtl w:val="true"/>
        </w:rPr>
        <w:t>שאלתי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14.12.09</w:t>
      </w:r>
      <w:r>
        <w:rPr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המעמד</w:t>
      </w:r>
      <w:r>
        <w:rPr>
          <w:rtl w:val="true"/>
        </w:rPr>
        <w:t xml:space="preserve">".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פניתי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נוחות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tl w:val="true"/>
        </w:rPr>
        <w:t>: 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".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ופוגעני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בשבט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והסתירו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6.7.09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both"/>
        <w:rPr/>
      </w:pPr>
      <w:r>
        <w:rPr>
          <w:rtl w:val="true"/>
        </w:rPr>
        <w:tab/>
        <w:tab/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לצערי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חמולות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תיגרה</w:t>
      </w:r>
      <w:r>
        <w:rPr>
          <w:rtl w:val="true"/>
        </w:rPr>
        <w:t xml:space="preserve">, </w:t>
      </w:r>
      <w:r>
        <w:rPr>
          <w:rtl w:val="true"/>
        </w:rPr>
        <w:t>שמתפתחת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tl w:val="true"/>
        </w:rPr>
        <w:t xml:space="preserve">, </w:t>
      </w:r>
      <w:r>
        <w:rPr>
          <w:rtl w:val="true"/>
        </w:rPr>
        <w:t>שמתפתח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שבטים</w:t>
      </w:r>
      <w:r>
        <w:rPr>
          <w:rtl w:val="true"/>
        </w:rPr>
        <w:t xml:space="preserve">.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מדחיפות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שמתפתח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הכבוד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הגנתה</w:t>
      </w:r>
      <w:r>
        <w:rPr>
          <w:rtl w:val="true"/>
        </w:rPr>
        <w:t xml:space="preserve">.  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לצערי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דוגמתו</w:t>
      </w:r>
      <w:r>
        <w:rPr>
          <w:rtl w:val="true"/>
        </w:rPr>
        <w:t xml:space="preserve">,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מוקצן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מהחוק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המתעלמות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tl w:val="true"/>
        </w:rPr>
        <w:t xml:space="preserve">, </w:t>
      </w:r>
      <w:r>
        <w:rPr>
          <w:rtl w:val="true"/>
        </w:rPr>
        <w:t>הבריונית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מגן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ונחרצים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865/09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הנדל</w:t>
      </w:r>
      <w:r>
        <w:rPr>
          <w:rtl w:val="true"/>
        </w:rPr>
        <w:t>)</w:t>
      </w:r>
      <w:r>
        <w:rPr>
          <w:b/>
          <w:bCs/>
          <w:rtl w:val="true"/>
        </w:rPr>
        <w:t>:</w:t>
      </w:r>
    </w:p>
    <w:p>
      <w:pPr>
        <w:pStyle w:val="Ruller4"/>
        <w:tabs>
          <w:tab w:val="clear" w:pos="720"/>
          <w:tab w:val="left" w:pos="800" w:leader="none"/>
        </w:tabs>
        <w:spacing w:lineRule="auto" w:line="240"/>
        <w:ind w:start="1080" w:end="0"/>
        <w:jc w:val="both"/>
        <w:rPr/>
      </w:pPr>
      <w:r>
        <w:rPr>
          <w:rFonts w:cs="David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David"/>
          <w:b/>
          <w:b/>
          <w:bCs/>
          <w:rtl w:val="true"/>
        </w:rPr>
        <w:t>הפקעת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אכיפת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החוק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מידי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הרשויות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השלטוניות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המוסמכות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לכך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ועשיית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דין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עצמית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הוכרה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זה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מכבר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כ</w:t>
      </w:r>
      <w:r>
        <w:rPr>
          <w:rFonts w:cs="David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David"/>
          <w:b/>
          <w:b/>
          <w:bCs/>
          <w:rtl w:val="true"/>
        </w:rPr>
        <w:t>נטילת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החוק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לידיים</w:t>
      </w:r>
      <w:r>
        <w:rPr>
          <w:rFonts w:cs="David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rtl w:val="true"/>
        </w:rPr>
        <w:t>שאינה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אלא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התעמרות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בחוק</w:t>
      </w:r>
      <w:r>
        <w:rPr>
          <w:rFonts w:cs="David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rtl w:val="true"/>
        </w:rPr>
        <w:t>זלזול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בחוק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והתעלמות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ממנו</w:t>
      </w:r>
      <w:r>
        <w:rPr>
          <w:rFonts w:cs="David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rtl w:val="true"/>
        </w:rPr>
        <w:t>מי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שנוטל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את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החוק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לידיו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נוטל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לעצמו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את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הכוח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–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ללא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זכות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–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להפר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את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החוק</w:t>
      </w:r>
      <w:r>
        <w:rPr>
          <w:rFonts w:cs="David" w:ascii="Times New Roman" w:hAnsi="Times New Roman"/>
          <w:b/>
          <w:bCs/>
          <w:rtl w:val="true"/>
        </w:rPr>
        <w:t>" (</w:t>
      </w:r>
      <w:r>
        <w:rPr>
          <w:rFonts w:ascii="Times New Roman" w:hAnsi="Times New Roman" w:cs="David"/>
          <w:b/>
          <w:b/>
          <w:bCs/>
          <w:rtl w:val="true"/>
        </w:rPr>
        <w:t>דברי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הנשיא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ברק</w:t>
      </w:r>
      <w:r>
        <w:rPr>
          <w:rFonts w:cs="David" w:ascii="Times New Roman" w:hAnsi="Times New Roman"/>
          <w:b/>
          <w:bCs/>
          <w:rtl w:val="true"/>
        </w:rPr>
        <w:t xml:space="preserve">, </w:t>
      </w:r>
      <w:hyperlink r:id="rId10">
        <w:r>
          <w:rPr>
            <w:rStyle w:val="Hyperlink"/>
            <w:rFonts w:ascii="Times New Roman" w:hAnsi="Times New Roman" w:cs="David"/>
            <w:b/>
            <w:b/>
            <w:bCs/>
            <w:rtl w:val="true"/>
          </w:rPr>
          <w:t>ע</w:t>
        </w:r>
        <w:r>
          <w:rPr>
            <w:rStyle w:val="Hyperlink"/>
            <w:rFonts w:cs="David" w:ascii="Times New Roman" w:hAnsi="Times New Roman"/>
            <w:b/>
            <w:bCs/>
            <w:rtl w:val="true"/>
          </w:rPr>
          <w:t>"</w:t>
        </w:r>
        <w:r>
          <w:rPr>
            <w:rStyle w:val="Hyperlink"/>
            <w:rFonts w:ascii="Times New Roman" w:hAnsi="Times New Roman" w:cs="David"/>
            <w:b/>
            <w:b/>
            <w:bCs/>
            <w:rtl w:val="true"/>
          </w:rPr>
          <w:t>פ</w:t>
        </w:r>
        <w:r>
          <w:rPr>
            <w:rStyle w:val="Hyperlink"/>
            <w:rFonts w:ascii="Times New Roman" w:hAnsi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b/>
            <w:bCs/>
          </w:rPr>
          <w:t>4884/92</w:t>
        </w:r>
      </w:hyperlink>
      <w:r>
        <w:rPr>
          <w:rFonts w:cs="David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מדינת</w:t>
      </w:r>
      <w:r>
        <w:rPr>
          <w:rFonts w:ascii="Times New Roman" w:hAnsi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ישראל</w:t>
      </w:r>
      <w:r>
        <w:rPr>
          <w:rFonts w:ascii="Times New Roman" w:hAnsi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יצחק</w:t>
      </w:r>
      <w:r>
        <w:rPr>
          <w:rFonts w:ascii="Times New Roman" w:hAnsi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לגמי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cs="David" w:ascii="Times New Roman" w:hAnsi="Times New Roman"/>
          <w:b/>
          <w:bCs/>
          <w:rtl w:val="true"/>
        </w:rPr>
        <w:t>(</w:t>
      </w:r>
      <w:r>
        <w:rPr>
          <w:rFonts w:ascii="Times New Roman" w:hAnsi="Times New Roman" w:cs="David"/>
          <w:b/>
          <w:b/>
          <w:bCs/>
          <w:rtl w:val="true"/>
        </w:rPr>
        <w:t>טרם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פורסם</w:t>
      </w:r>
      <w:r>
        <w:rPr>
          <w:rFonts w:cs="David" w:ascii="Times New Roman" w:hAnsi="Times New Roman"/>
          <w:b/>
          <w:bCs/>
          <w:rtl w:val="true"/>
        </w:rPr>
        <w:t xml:space="preserve">, </w:t>
      </w:r>
      <w:r>
        <w:rPr>
          <w:rFonts w:cs="David" w:ascii="Times New Roman" w:hAnsi="Times New Roman"/>
          <w:b/>
          <w:bCs/>
        </w:rPr>
        <w:t>1.3.93</w:t>
      </w:r>
      <w:r>
        <w:rPr>
          <w:rFonts w:cs="David" w:ascii="Times New Roman" w:hAnsi="Times New Roman"/>
          <w:b/>
          <w:bCs/>
          <w:rtl w:val="true"/>
        </w:rPr>
        <w:t xml:space="preserve">)). </w:t>
      </w:r>
      <w:r>
        <w:rPr>
          <w:rFonts w:ascii="Times New Roman" w:hAnsi="Times New Roman" w:cs="David"/>
          <w:b/>
          <w:b/>
          <w:bCs/>
          <w:rtl w:val="true"/>
        </w:rPr>
        <w:t>במעשיהם</w:t>
      </w:r>
      <w:r>
        <w:rPr>
          <w:rFonts w:cs="David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rtl w:val="true"/>
        </w:rPr>
        <w:t>פעלו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המערערים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לקעקע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את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שלטון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החוק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ולסכן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את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שלום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הציבור</w:t>
      </w:r>
      <w:r>
        <w:rPr>
          <w:rFonts w:cs="David" w:ascii="Times New Roman" w:hAnsi="Times New Roman"/>
          <w:b/>
          <w:bCs/>
          <w:rtl w:val="true"/>
        </w:rPr>
        <w:t xml:space="preserve">... </w:t>
      </w:r>
      <w:r>
        <w:rPr>
          <w:rFonts w:ascii="Times New Roman" w:hAnsi="Times New Roman" w:cs="David"/>
          <w:b/>
          <w:b/>
          <w:bCs/>
          <w:rtl w:val="true"/>
        </w:rPr>
        <w:t>מעשיהם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של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המערערים</w:t>
      </w:r>
      <w:r>
        <w:rPr>
          <w:rFonts w:cs="David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rtl w:val="true"/>
        </w:rPr>
        <w:t>אפוא</w:t>
      </w:r>
      <w:r>
        <w:rPr>
          <w:rFonts w:cs="David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rtl w:val="true"/>
        </w:rPr>
        <w:t>מחייבים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נקיטת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סנקציות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שיש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בהן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כדי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להוביל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להפנמת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ערכי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שלטון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החוק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ואכיפתו</w:t>
      </w:r>
      <w:r>
        <w:rPr>
          <w:rFonts w:cs="David" w:ascii="Times New Roman" w:hAnsi="Times New Roman"/>
          <w:b/>
          <w:bCs/>
          <w:rtl w:val="true"/>
        </w:rPr>
        <w:t>. ..."</w:t>
      </w:r>
    </w:p>
    <w:p>
      <w:pPr>
        <w:pStyle w:val="Ruller4"/>
        <w:tabs>
          <w:tab w:val="clear" w:pos="720"/>
          <w:tab w:val="left" w:pos="800" w:leader="none"/>
        </w:tabs>
        <w:spacing w:lineRule="auto" w:line="240"/>
        <w:ind w:start="1080" w:end="0"/>
        <w:jc w:val="both"/>
        <w:rPr>
          <w:rFonts w:ascii="Times New Roman" w:hAnsi="Times New Roman"/>
          <w:b/>
          <w:bCs/>
        </w:rPr>
      </w:pPr>
      <w:r>
        <w:rPr>
          <w:rFonts w:cs="David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David"/>
          <w:b/>
          <w:b/>
          <w:bCs/>
          <w:rtl w:val="true"/>
        </w:rPr>
        <w:t>ברם</w:t>
      </w:r>
      <w:r>
        <w:rPr>
          <w:rFonts w:cs="David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rtl w:val="true"/>
        </w:rPr>
        <w:t>קיים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צורך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ממשי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בהדגשתם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של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שיקולי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ההרתעה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הכללית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והפרטנית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במקרה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זה</w:t>
      </w:r>
      <w:r>
        <w:rPr>
          <w:rFonts w:cs="David" w:ascii="Times New Roman" w:hAnsi="Times New Roman"/>
          <w:b/>
          <w:bCs/>
          <w:rtl w:val="true"/>
        </w:rPr>
        <w:t xml:space="preserve">.   </w:t>
      </w:r>
    </w:p>
    <w:p>
      <w:pPr>
        <w:pStyle w:val="Ruller4"/>
        <w:tabs>
          <w:tab w:val="clear" w:pos="720"/>
          <w:tab w:val="left" w:pos="800" w:leader="none"/>
        </w:tabs>
        <w:spacing w:lineRule="auto" w:line="240"/>
        <w:ind w:start="1080" w:end="0"/>
        <w:jc w:val="both"/>
        <w:rPr>
          <w:rFonts w:ascii="Times New Roman" w:hAnsi="Times New Roman" w:cs="David"/>
          <w:b/>
          <w:bCs/>
        </w:rPr>
      </w:pPr>
      <w:r>
        <w:rPr>
          <w:rFonts w:ascii="Times New Roman" w:hAnsi="Times New Roman" w:cs="David"/>
          <w:b/>
          <w:b/>
          <w:bCs/>
          <w:rtl w:val="true"/>
        </w:rPr>
        <w:t>קו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ההגנה</w:t>
      </w:r>
      <w:r>
        <w:rPr>
          <w:rFonts w:cs="David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rtl w:val="true"/>
        </w:rPr>
        <w:t>לפיו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פעלו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המערערים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על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רקע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כבוד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המשפחה</w:t>
      </w:r>
      <w:r>
        <w:rPr>
          <w:rFonts w:cs="David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rtl w:val="true"/>
        </w:rPr>
        <w:t>כולל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בתוכו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את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הדרישה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להתחשב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בעולם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הערכים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של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החברה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אליה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משתייכים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המערערים</w:t>
      </w:r>
      <w:r>
        <w:rPr>
          <w:rFonts w:cs="David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rtl w:val="true"/>
        </w:rPr>
        <w:t>עולם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המשפט</w:t>
      </w:r>
      <w:r>
        <w:rPr>
          <w:rFonts w:cs="David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rtl w:val="true"/>
        </w:rPr>
        <w:t>כמובן</w:t>
      </w:r>
      <w:r>
        <w:rPr>
          <w:rFonts w:cs="David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rtl w:val="true"/>
        </w:rPr>
        <w:t>מכיר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בעולם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הרב</w:t>
      </w:r>
      <w:r>
        <w:rPr>
          <w:rFonts w:cs="David" w:ascii="Times New Roman" w:hAnsi="Times New Roman"/>
          <w:b/>
          <w:bCs/>
          <w:rtl w:val="true"/>
        </w:rPr>
        <w:t>-</w:t>
      </w:r>
      <w:r>
        <w:rPr>
          <w:rFonts w:ascii="Times New Roman" w:hAnsi="Times New Roman" w:cs="David"/>
          <w:b/>
          <w:b/>
          <w:bCs/>
          <w:rtl w:val="true"/>
        </w:rPr>
        <w:t>תרבותי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וניתן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להתווכח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מי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משפיע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על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האחר</w:t>
      </w:r>
      <w:r>
        <w:rPr>
          <w:rFonts w:cs="David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rtl w:val="true"/>
        </w:rPr>
        <w:t>נדמה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כי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התשובה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הנכונה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לכך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היא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הפריה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הדדית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בין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העולמות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cs="David" w:ascii="Times New Roman" w:hAnsi="Times New Roman"/>
          <w:b/>
          <w:bCs/>
          <w:rtl w:val="true"/>
        </w:rPr>
        <w:t>(</w:t>
      </w:r>
      <w:r>
        <w:rPr>
          <w:rFonts w:ascii="Times New Roman" w:hAnsi="Times New Roman" w:cs="David"/>
          <w:b/>
          <w:b/>
          <w:bCs/>
          <w:rtl w:val="true"/>
        </w:rPr>
        <w:t>ראו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מ</w:t>
      </w:r>
      <w:r>
        <w:rPr>
          <w:rFonts w:cs="David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rtl w:val="true"/>
        </w:rPr>
        <w:t>מאוטנר</w:t>
      </w:r>
      <w:r>
        <w:rPr>
          <w:rFonts w:cs="David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משפט</w:t>
      </w:r>
      <w:r>
        <w:rPr>
          <w:rFonts w:ascii="Times New Roman" w:hAnsi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ותרבות</w:t>
      </w:r>
      <w:r>
        <w:rPr>
          <w:rFonts w:cs="David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rtl w:val="true"/>
        </w:rPr>
        <w:t>פרק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שני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cs="David" w:ascii="Times New Roman" w:hAnsi="Times New Roman"/>
          <w:b/>
          <w:bCs/>
          <w:rtl w:val="true"/>
        </w:rPr>
        <w:t>(</w:t>
      </w:r>
      <w:r>
        <w:rPr>
          <w:rFonts w:ascii="Times New Roman" w:hAnsi="Times New Roman" w:cs="David"/>
          <w:b/>
          <w:b/>
          <w:bCs/>
          <w:rtl w:val="true"/>
        </w:rPr>
        <w:t>תשס</w:t>
      </w:r>
      <w:r>
        <w:rPr>
          <w:rFonts w:cs="David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David"/>
          <w:b/>
          <w:b/>
          <w:bCs/>
          <w:rtl w:val="true"/>
        </w:rPr>
        <w:t>ח</w:t>
      </w:r>
      <w:r>
        <w:rPr>
          <w:rFonts w:cs="David" w:ascii="Times New Roman" w:hAnsi="Times New Roman"/>
          <w:b/>
          <w:bCs/>
          <w:rtl w:val="true"/>
        </w:rPr>
        <w:t xml:space="preserve">)). </w:t>
      </w:r>
      <w:r>
        <w:rPr>
          <w:rFonts w:ascii="Times New Roman" w:hAnsi="Times New Roman" w:cs="David"/>
          <w:b/>
          <w:b/>
          <w:bCs/>
          <w:rtl w:val="true"/>
        </w:rPr>
        <w:t>ברם</w:t>
      </w:r>
      <w:r>
        <w:rPr>
          <w:rFonts w:cs="David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rtl w:val="true"/>
        </w:rPr>
        <w:t>שונים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פני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הדברים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עת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עסקינן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בהעלאת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טענה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זו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במסגרת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הגנה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בפלילים</w:t>
      </w:r>
      <w:r>
        <w:rPr>
          <w:rFonts w:cs="David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rtl w:val="true"/>
        </w:rPr>
        <w:t>וודאי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בעבירה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חמורה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דוגמת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עבירת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הריגה</w:t>
      </w:r>
      <w:r>
        <w:rPr>
          <w:rFonts w:cs="David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rtl w:val="true"/>
        </w:rPr>
        <w:t>ראשית</w:t>
      </w:r>
      <w:r>
        <w:rPr>
          <w:rFonts w:cs="David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rtl w:val="true"/>
        </w:rPr>
        <w:t>פסיקה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מושרשת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היא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כי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cs="David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David"/>
          <w:b/>
          <w:b/>
          <w:bCs/>
          <w:rtl w:val="true"/>
        </w:rPr>
        <w:t>במדינת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חוק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לא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ניתן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להשלים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עם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המנהג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של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cs="David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David"/>
          <w:b/>
          <w:b/>
          <w:bCs/>
          <w:rtl w:val="true"/>
        </w:rPr>
        <w:t>נקמת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דם</w:t>
      </w:r>
      <w:r>
        <w:rPr>
          <w:rFonts w:cs="David" w:ascii="Times New Roman" w:hAnsi="Times New Roman"/>
          <w:b/>
          <w:bCs/>
          <w:rtl w:val="true"/>
        </w:rPr>
        <w:t xml:space="preserve">", </w:t>
      </w:r>
      <w:r>
        <w:rPr>
          <w:rFonts w:ascii="Times New Roman" w:hAnsi="Times New Roman" w:cs="David"/>
          <w:b/>
          <w:b/>
          <w:bCs/>
          <w:rtl w:val="true"/>
        </w:rPr>
        <w:t>ויש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להוקיעו</w:t>
      </w:r>
      <w:r>
        <w:rPr>
          <w:rFonts w:cs="David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rtl w:val="true"/>
        </w:rPr>
        <w:t>משכך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אין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ליתן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משקל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לקולא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בעת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גזירת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הדין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לעובדה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שהמעשים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בוצעו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כ</w:t>
      </w:r>
      <w:r>
        <w:rPr>
          <w:rFonts w:cs="David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David"/>
          <w:b/>
          <w:b/>
          <w:bCs/>
          <w:rtl w:val="true"/>
        </w:rPr>
        <w:t>נקמת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דם</w:t>
      </w:r>
      <w:r>
        <w:rPr>
          <w:rFonts w:cs="David" w:ascii="Times New Roman" w:hAnsi="Times New Roman"/>
          <w:b/>
          <w:bCs/>
          <w:rtl w:val="true"/>
        </w:rPr>
        <w:t xml:space="preserve">" </w:t>
      </w:r>
      <w:r>
        <w:rPr>
          <w:rFonts w:ascii="Times New Roman" w:hAnsi="Times New Roman" w:cs="David"/>
          <w:b/>
          <w:b/>
          <w:bCs/>
          <w:rtl w:val="true"/>
        </w:rPr>
        <w:t>של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בן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משפחה</w:t>
      </w:r>
      <w:r>
        <w:rPr>
          <w:rFonts w:cs="David" w:ascii="Times New Roman" w:hAnsi="Times New Roman"/>
          <w:b/>
          <w:bCs/>
          <w:rtl w:val="true"/>
        </w:rPr>
        <w:t>" (</w:t>
      </w:r>
      <w:hyperlink r:id="rId11">
        <w:r>
          <w:rPr>
            <w:rStyle w:val="Hyperlink"/>
            <w:rFonts w:ascii="Times New Roman" w:hAnsi="Times New Roman" w:cs="David"/>
            <w:b/>
            <w:b/>
            <w:bCs/>
            <w:rtl w:val="true"/>
          </w:rPr>
          <w:t>ע</w:t>
        </w:r>
        <w:r>
          <w:rPr>
            <w:rStyle w:val="Hyperlink"/>
            <w:rFonts w:cs="David" w:ascii="Times New Roman" w:hAnsi="Times New Roman"/>
            <w:b/>
            <w:bCs/>
            <w:rtl w:val="true"/>
          </w:rPr>
          <w:t>"</w:t>
        </w:r>
        <w:r>
          <w:rPr>
            <w:rStyle w:val="Hyperlink"/>
            <w:rFonts w:ascii="Times New Roman" w:hAnsi="Times New Roman" w:cs="David"/>
            <w:b/>
            <w:b/>
            <w:bCs/>
            <w:rtl w:val="true"/>
          </w:rPr>
          <w:t>פ</w:t>
        </w:r>
        <w:r>
          <w:rPr>
            <w:rStyle w:val="Hyperlink"/>
            <w:rFonts w:ascii="Times New Roman" w:hAnsi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b/>
            <w:bCs/>
          </w:rPr>
          <w:t>6095/08</w:t>
        </w:r>
      </w:hyperlink>
      <w:r>
        <w:rPr>
          <w:rFonts w:cs="David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סלומון</w:t>
      </w:r>
      <w:r>
        <w:rPr>
          <w:rFonts w:ascii="Times New Roman" w:hAnsi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מדינת</w:t>
      </w:r>
      <w:r>
        <w:rPr>
          <w:rFonts w:ascii="Times New Roman" w:hAnsi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ישראל</w:t>
      </w:r>
      <w:r>
        <w:rPr>
          <w:rFonts w:ascii="Times New Roman" w:hAnsi="Times New Roman"/>
          <w:b/>
          <w:b/>
          <w:bCs/>
          <w:spacing w:val="0"/>
          <w:rtl w:val="true"/>
        </w:rPr>
        <w:t xml:space="preserve"> </w:t>
      </w:r>
      <w:r>
        <w:rPr>
          <w:rFonts w:cs="David" w:ascii="Times New Roman" w:hAnsi="Times New Roman"/>
          <w:b/>
          <w:bCs/>
          <w:rtl w:val="true"/>
        </w:rPr>
        <w:t>(</w:t>
      </w:r>
      <w:r>
        <w:rPr>
          <w:rFonts w:ascii="Times New Roman" w:hAnsi="Times New Roman" w:cs="David"/>
          <w:b/>
          <w:b/>
          <w:bCs/>
          <w:rtl w:val="true"/>
        </w:rPr>
        <w:t>טרם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פורסם</w:t>
      </w:r>
      <w:r>
        <w:rPr>
          <w:rFonts w:cs="David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rtl w:val="true"/>
        </w:rPr>
        <w:t>ניתן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ב</w:t>
      </w:r>
      <w:r>
        <w:rPr>
          <w:rFonts w:cs="David" w:ascii="Times New Roman" w:hAnsi="Times New Roman"/>
          <w:b/>
          <w:bCs/>
          <w:rtl w:val="true"/>
        </w:rPr>
        <w:t>-</w:t>
      </w:r>
      <w:r>
        <w:rPr>
          <w:rFonts w:cs="David" w:ascii="Times New Roman" w:hAnsi="Times New Roman"/>
          <w:b/>
          <w:bCs/>
        </w:rPr>
        <w:t>29.12.2008</w:t>
      </w:r>
      <w:r>
        <w:rPr>
          <w:rFonts w:cs="David" w:ascii="Times New Roman" w:hAnsi="Times New Roman"/>
          <w:b/>
          <w:bCs/>
          <w:rtl w:val="true"/>
        </w:rPr>
        <w:t xml:space="preserve">; </w:t>
      </w:r>
      <w:r>
        <w:rPr>
          <w:rFonts w:ascii="Times New Roman" w:hAnsi="Times New Roman" w:cs="David"/>
          <w:b/>
          <w:b/>
          <w:bCs/>
          <w:rtl w:val="true"/>
        </w:rPr>
        <w:t>וראו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גם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rtl w:val="true"/>
        </w:rPr>
        <w:t>ע</w:t>
      </w:r>
      <w:r>
        <w:rPr>
          <w:rFonts w:cs="David" w:ascii="Times New Roman" w:hAnsi="Times New Roman"/>
          <w:b/>
          <w:bCs/>
          <w:color w:val="000000"/>
          <w:rtl w:val="true"/>
        </w:rPr>
        <w:t>"</w:t>
      </w:r>
      <w:r>
        <w:rPr>
          <w:rFonts w:ascii="Times New Roman" w:hAnsi="Times New Roman" w:cs="David"/>
          <w:b/>
          <w:b/>
          <w:bCs/>
          <w:color w:val="000000"/>
          <w:rtl w:val="true"/>
        </w:rPr>
        <w:t>פ</w:t>
      </w:r>
      <w:r>
        <w:rPr>
          <w:rFonts w:ascii="Times New Roman" w:hAnsi="Times New Roman"/>
          <w:b/>
          <w:b/>
          <w:bCs/>
          <w:color w:val="000000"/>
          <w:rtl w:val="true"/>
        </w:rPr>
        <w:t xml:space="preserve"> </w:t>
      </w:r>
      <w:r>
        <w:rPr>
          <w:rFonts w:cs="David" w:ascii="Times New Roman" w:hAnsi="Times New Roman"/>
          <w:b/>
          <w:bCs/>
          <w:color w:val="000000"/>
        </w:rPr>
        <w:t>6563/06</w:t>
      </w:r>
      <w:r>
        <w:rPr>
          <w:rFonts w:cs="David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עזאם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נ</w:t>
      </w:r>
      <w:r>
        <w:rPr>
          <w:rFonts w:cs="David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rtl w:val="true"/>
        </w:rPr>
        <w:t>מדינת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ישראל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תק</w:t>
      </w:r>
      <w:r>
        <w:rPr>
          <w:rFonts w:cs="David" w:ascii="Times New Roman" w:hAnsi="Times New Roman"/>
          <w:b/>
          <w:bCs/>
          <w:rtl w:val="true"/>
        </w:rPr>
        <w:t>-</w:t>
      </w:r>
      <w:r>
        <w:rPr>
          <w:rFonts w:ascii="Times New Roman" w:hAnsi="Times New Roman" w:cs="David"/>
          <w:b/>
          <w:b/>
          <w:bCs/>
          <w:rtl w:val="true"/>
        </w:rPr>
        <w:t>על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cs="David" w:ascii="Times New Roman" w:hAnsi="Times New Roman"/>
          <w:b/>
          <w:bCs/>
        </w:rPr>
        <w:t>97</w:t>
      </w:r>
      <w:r>
        <w:rPr>
          <w:rFonts w:cs="David" w:ascii="Times New Roman" w:hAnsi="Times New Roman"/>
          <w:b/>
          <w:bCs/>
          <w:rtl w:val="true"/>
        </w:rPr>
        <w:t>(</w:t>
      </w:r>
      <w:r>
        <w:rPr>
          <w:rFonts w:cs="David" w:ascii="Times New Roman" w:hAnsi="Times New Roman"/>
          <w:b/>
          <w:bCs/>
        </w:rPr>
        <w:t>4</w:t>
      </w:r>
      <w:r>
        <w:rPr>
          <w:rFonts w:cs="David" w:ascii="Times New Roman" w:hAnsi="Times New Roman"/>
          <w:b/>
          <w:bCs/>
          <w:rtl w:val="true"/>
        </w:rPr>
        <w:t xml:space="preserve">), </w:t>
      </w:r>
      <w:r>
        <w:rPr>
          <w:rFonts w:cs="David" w:ascii="Times New Roman" w:hAnsi="Times New Roman"/>
          <w:b/>
          <w:bCs/>
        </w:rPr>
        <w:t>558</w:t>
      </w:r>
      <w:r>
        <w:rPr>
          <w:rFonts w:cs="David" w:ascii="Times New Roman" w:hAnsi="Times New Roman"/>
          <w:b/>
          <w:bCs/>
          <w:rtl w:val="true"/>
        </w:rPr>
        <w:t xml:space="preserve">). </w:t>
      </w:r>
      <w:r>
        <w:rPr>
          <w:rFonts w:ascii="Times New Roman" w:hAnsi="Times New Roman" w:cs="David"/>
          <w:b/>
          <w:b/>
          <w:bCs/>
          <w:rtl w:val="true"/>
        </w:rPr>
        <w:t>שנית</w:t>
      </w:r>
      <w:r>
        <w:rPr>
          <w:rFonts w:cs="David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rtl w:val="true"/>
        </w:rPr>
        <w:t>עבירת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אלימות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מכל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סוג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פוגעת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בזולת</w:t>
      </w:r>
      <w:r>
        <w:rPr>
          <w:rFonts w:cs="David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rtl w:val="true"/>
        </w:rPr>
        <w:t>לפיכך</w:t>
      </w:r>
      <w:r>
        <w:rPr>
          <w:rFonts w:cs="David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rtl w:val="true"/>
        </w:rPr>
        <w:t>התחשבות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בטענה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–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cs="David" w:ascii="Times New Roman" w:hAnsi="Times New Roman"/>
          <w:b/>
          <w:bCs/>
          <w:rtl w:val="true"/>
        </w:rPr>
        <w:t>'</w:t>
      </w:r>
      <w:r>
        <w:rPr>
          <w:rFonts w:ascii="Times New Roman" w:hAnsi="Times New Roman" w:cs="David"/>
          <w:b/>
          <w:b/>
          <w:bCs/>
          <w:rtl w:val="true"/>
        </w:rPr>
        <w:t>כך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נהוג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אצלנו</w:t>
      </w:r>
      <w:r>
        <w:rPr>
          <w:rFonts w:cs="David" w:ascii="Times New Roman" w:hAnsi="Times New Roman"/>
          <w:b/>
          <w:bCs/>
          <w:rtl w:val="true"/>
        </w:rPr>
        <w:t xml:space="preserve">' </w:t>
      </w:r>
      <w:r>
        <w:rPr>
          <w:rFonts w:eastAsia="David" w:cs="David" w:ascii="David" w:hAnsi="David"/>
          <w:b/>
          <w:bCs/>
          <w:rtl w:val="true"/>
        </w:rPr>
        <w:t>–</w:t>
      </w:r>
      <w:r>
        <w:rPr>
          <w:rFonts w:cs="David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באה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על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חשבון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הקורבן</w:t>
      </w:r>
      <w:r>
        <w:rPr>
          <w:rFonts w:cs="David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rtl w:val="true"/>
        </w:rPr>
        <w:t>שלישית</w:t>
      </w:r>
      <w:r>
        <w:rPr>
          <w:rFonts w:cs="David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rtl w:val="true"/>
        </w:rPr>
        <w:t>לעתים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חוטאת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הטענה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למציאות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ובכך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אף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עלולה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לפגוע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בתרבות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ובקבוצה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מסוימת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בחברה</w:t>
      </w:r>
      <w:r>
        <w:rPr>
          <w:rFonts w:cs="David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rtl w:val="true"/>
        </w:rPr>
        <w:t>לאמור</w:t>
      </w:r>
      <w:r>
        <w:rPr>
          <w:rFonts w:cs="David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rtl w:val="true"/>
        </w:rPr>
        <w:t>טענת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סנגוריה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כי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כך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נהוג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במחוזות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מסוימים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אינה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נכונה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בהכרח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מבחינה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עובדתית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או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נורמטיבית</w:t>
      </w:r>
      <w:r>
        <w:rPr>
          <w:rFonts w:cs="David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rtl w:val="true"/>
        </w:rPr>
        <w:t>רביעית</w:t>
      </w:r>
      <w:r>
        <w:rPr>
          <w:rFonts w:cs="David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rtl w:val="true"/>
        </w:rPr>
        <w:t>גם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אם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הטענה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נכונה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עובדתית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–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עדיין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חייבת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היא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לסגת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מפני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שיקול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רחב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יותר</w:t>
      </w:r>
      <w:r>
        <w:rPr>
          <w:rFonts w:cs="David" w:ascii="Times New Roman" w:hAnsi="Times New Roman"/>
          <w:b/>
          <w:bCs/>
          <w:rtl w:val="true"/>
        </w:rPr>
        <w:t>."</w:t>
      </w:r>
    </w:p>
    <w:p>
      <w:pPr>
        <w:pStyle w:val="Ruller4"/>
        <w:tabs>
          <w:tab w:val="clear" w:pos="720"/>
          <w:tab w:val="left" w:pos="800" w:leader="none"/>
        </w:tabs>
        <w:spacing w:lineRule="auto" w:line="240"/>
        <w:ind w:start="1080" w:end="0"/>
        <w:jc w:val="both"/>
        <w:rPr>
          <w:rFonts w:ascii="Times New Roman" w:hAnsi="Times New Roman"/>
          <w:b/>
          <w:bCs/>
        </w:rPr>
      </w:pPr>
      <w:r>
        <w:rPr>
          <w:rFonts w:cs="David" w:ascii="Times New Roman" w:hAnsi="Times New Roman"/>
          <w:b/>
          <w:bCs/>
          <w:rtl w:val="true"/>
        </w:rPr>
        <w:t xml:space="preserve">"... </w:t>
      </w:r>
      <w:r>
        <w:rPr>
          <w:rFonts w:ascii="Times New Roman" w:hAnsi="Times New Roman" w:cs="David"/>
          <w:b/>
          <w:b/>
          <w:bCs/>
          <w:rtl w:val="true"/>
        </w:rPr>
        <w:t>החוק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הפלילי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cs="David" w:ascii="Times New Roman" w:hAnsi="Times New Roman"/>
          <w:b/>
          <w:bCs/>
          <w:rtl w:val="true"/>
        </w:rPr>
        <w:t xml:space="preserve">... </w:t>
      </w:r>
      <w:r>
        <w:rPr>
          <w:rFonts w:ascii="Times New Roman" w:hAnsi="Times New Roman" w:cs="David"/>
          <w:b/>
          <w:b/>
          <w:bCs/>
          <w:rtl w:val="true"/>
        </w:rPr>
        <w:t>הוא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קובע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שישנן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התנהגויות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שונות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האסורות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בתכלית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והחברה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לא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תשלים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עמן</w:t>
      </w:r>
      <w:r>
        <w:rPr>
          <w:rFonts w:cs="David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rtl w:val="true"/>
        </w:rPr>
        <w:t>התוצאה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היא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כי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הפרט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חייב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לקיים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את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הנורמה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ההתנהגותית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המחייבת</w:t>
      </w:r>
      <w:r>
        <w:rPr>
          <w:rFonts w:cs="David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rtl w:val="true"/>
        </w:rPr>
        <w:t>ייתכן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כי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יחיד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זה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או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אחר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לא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יסכים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עם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החוק</w:t>
      </w:r>
      <w:r>
        <w:rPr>
          <w:rFonts w:cs="David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rtl w:val="true"/>
        </w:rPr>
        <w:t>אך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הדין</w:t>
      </w:r>
      <w:r>
        <w:rPr>
          <w:rFonts w:ascii="Times New Roman" w:hAnsi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rtl w:val="true"/>
        </w:rPr>
        <w:t>מחייבו</w:t>
      </w:r>
      <w:r>
        <w:rPr>
          <w:rFonts w:cs="David" w:ascii="Times New Roman" w:hAnsi="Times New Roman"/>
          <w:b/>
          <w:bCs/>
          <w:rtl w:val="true"/>
        </w:rPr>
        <w:t xml:space="preserve">." </w:t>
      </w:r>
    </w:p>
    <w:p>
      <w:pPr>
        <w:pStyle w:val="Ruller4"/>
        <w:tabs>
          <w:tab w:val="clear" w:pos="720"/>
          <w:tab w:val="left" w:pos="800" w:leader="none"/>
        </w:tabs>
        <w:spacing w:lineRule="auto" w:line="240"/>
        <w:ind w:start="1080" w:end="0"/>
        <w:jc w:val="both"/>
        <w:rPr>
          <w:rFonts w:ascii="Times New Roman" w:hAnsi="Times New Roman" w:cs="David"/>
          <w:b/>
          <w:bCs/>
        </w:rPr>
      </w:pPr>
      <w:r>
        <w:rPr>
          <w:rFonts w:cs="David" w:ascii="Times New Roman" w:hAnsi="Times New Roman"/>
          <w:b/>
          <w:bCs/>
          <w:rtl w:val="true"/>
        </w:rPr>
      </w:r>
    </w:p>
    <w:p>
      <w:pPr>
        <w:pStyle w:val="Ruller4"/>
        <w:tabs>
          <w:tab w:val="clear" w:pos="720"/>
          <w:tab w:val="left" w:pos="800" w:leader="none"/>
        </w:tabs>
        <w:spacing w:lineRule="auto" w:line="240"/>
        <w:ind w:start="1080" w:end="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 w:cs="David"/>
          <w:szCs w:val="24"/>
          <w:rtl w:val="true"/>
        </w:rPr>
        <w:t>לאמור</w:t>
      </w:r>
      <w:r>
        <w:rPr>
          <w:rFonts w:ascii="Times New Roman" w:hAnsi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הוסיפה</w:t>
      </w:r>
      <w:r>
        <w:rPr>
          <w:rFonts w:ascii="Times New Roman" w:hAnsi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שם</w:t>
      </w:r>
      <w:r>
        <w:rPr>
          <w:rFonts w:ascii="Times New Roman" w:hAnsi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כב</w:t>
      </w:r>
      <w:r>
        <w:rPr>
          <w:rFonts w:cs="David" w:ascii="Times New Roman" w:hAnsi="Times New Roman"/>
          <w:szCs w:val="24"/>
          <w:rtl w:val="true"/>
        </w:rPr>
        <w:t xml:space="preserve">' </w:t>
      </w:r>
      <w:r>
        <w:rPr>
          <w:rFonts w:ascii="Times New Roman" w:hAnsi="Times New Roman" w:cs="David"/>
          <w:szCs w:val="24"/>
          <w:rtl w:val="true"/>
        </w:rPr>
        <w:t>השופטת</w:t>
      </w:r>
      <w:r>
        <w:rPr>
          <w:rFonts w:ascii="Times New Roman" w:hAnsi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פרוקצ</w:t>
      </w:r>
      <w:r>
        <w:rPr>
          <w:rFonts w:cs="David" w:ascii="Times New Roman" w:hAnsi="Times New Roman"/>
          <w:szCs w:val="24"/>
          <w:rtl w:val="true"/>
        </w:rPr>
        <w:t>'</w:t>
      </w:r>
      <w:r>
        <w:rPr>
          <w:rFonts w:ascii="Times New Roman" w:hAnsi="Times New Roman" w:cs="David"/>
          <w:szCs w:val="24"/>
          <w:rtl w:val="true"/>
        </w:rPr>
        <w:t>יה</w:t>
      </w:r>
      <w:r>
        <w:rPr>
          <w:rFonts w:cs="David" w:ascii="Times New Roman" w:hAnsi="Times New Roman"/>
          <w:szCs w:val="24"/>
          <w:rtl w:val="true"/>
        </w:rPr>
        <w:t>:</w:t>
      </w:r>
    </w:p>
    <w:p>
      <w:pPr>
        <w:pStyle w:val="Ruller4"/>
        <w:tabs>
          <w:tab w:val="clear" w:pos="720"/>
          <w:tab w:val="left" w:pos="800" w:leader="none"/>
        </w:tabs>
        <w:spacing w:lineRule="auto" w:line="240"/>
        <w:ind w:start="1080" w:end="0"/>
        <w:jc w:val="both"/>
        <w:rPr>
          <w:rFonts w:ascii="Times New Roman" w:hAnsi="Times New Roman" w:cs="David"/>
          <w:szCs w:val="24"/>
        </w:rPr>
      </w:pPr>
      <w:r>
        <w:rPr>
          <w:rFonts w:cs="David" w:ascii="Times New Roman" w:hAnsi="Times New Roman"/>
          <w:szCs w:val="24"/>
          <w:rtl w:val="true"/>
        </w:rPr>
      </w:r>
    </w:p>
    <w:p>
      <w:pPr>
        <w:pStyle w:val="Ruller4"/>
        <w:tabs>
          <w:tab w:val="clear" w:pos="720"/>
          <w:tab w:val="left" w:pos="800" w:leader="none"/>
        </w:tabs>
        <w:spacing w:lineRule="auto" w:line="240"/>
        <w:ind w:start="1080" w:end="0"/>
        <w:jc w:val="both"/>
        <w:rPr/>
      </w:pP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אכן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כלל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נקוט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בידי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בית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משפט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זה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לאורך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דורות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רבים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כי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הנורמה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הבסיסית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קדושת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חיי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אדם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חלה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ומחייבת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כל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אדם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הכפוף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לשיטת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המשפט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הישראלית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ולערכיה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נורמה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זו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משותפת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ומאחדת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כל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תושבי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המדינה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ללא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הבדל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השתייכות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לקבוצה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תרבותית</w:t>
      </w:r>
      <w:r>
        <w:rPr>
          <w:rFonts w:cs="David"/>
          <w:b/>
          <w:bCs/>
          <w:rtl w:val="true"/>
        </w:rPr>
        <w:t>-</w:t>
      </w:r>
      <w:r>
        <w:rPr>
          <w:rFonts w:cs="David"/>
          <w:b/>
          <w:b/>
          <w:bCs/>
          <w:rtl w:val="true"/>
        </w:rPr>
        <w:t>מסורתית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כזו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או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אחרת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טענת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הגנה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נקמת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דם</w:t>
      </w:r>
      <w:r>
        <w:rPr>
          <w:rFonts w:cs="David"/>
          <w:b/>
          <w:bCs/>
          <w:rtl w:val="true"/>
        </w:rPr>
        <w:t xml:space="preserve">" </w:t>
      </w:r>
      <w:r>
        <w:rPr>
          <w:rFonts w:cs="David"/>
          <w:b/>
          <w:b/>
          <w:bCs/>
          <w:rtl w:val="true"/>
        </w:rPr>
        <w:t>או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הגנה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על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כבוד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המשפחה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אינה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משמשת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הקלה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–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בין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לצורך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בחינת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האחריות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הפלילית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לביצוע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העבירה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ובין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לצורך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שקילת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העונש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שמא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ינתן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בכך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האות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כי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נסיבות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מעין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אלה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עשויות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לרכך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פשע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נטילת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חיי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אדם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–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ולא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היא</w:t>
      </w:r>
      <w:r>
        <w:rPr>
          <w:rFonts w:cs="David"/>
          <w:b/>
          <w:bCs/>
          <w:rtl w:val="true"/>
        </w:rPr>
        <w:t>".</w:t>
      </w:r>
    </w:p>
    <w:p>
      <w:pPr>
        <w:pStyle w:val="Normal"/>
        <w:ind w:start="360" w:end="0"/>
        <w:jc w:val="both"/>
        <w:rPr/>
      </w:pPr>
      <w:r>
        <w:rPr>
          <w:rtl w:val="true"/>
        </w:rPr>
        <w:tab/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מאויימים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מסתירו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tl w:val="true"/>
        </w:rPr>
        <w:t xml:space="preserve">,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865/09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. </w:t>
      </w:r>
      <w:r>
        <w:rPr>
          <w:rtl w:val="true"/>
        </w:rPr>
        <w:t>מורגלים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tl w:val="true"/>
        </w:rPr>
        <w:t xml:space="preserve">, </w:t>
      </w:r>
      <w:r>
        <w:rPr>
          <w:rtl w:val="true"/>
        </w:rPr>
        <w:t>מתערבים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tl w:val="true"/>
        </w:rPr>
        <w:t xml:space="preserve">, </w:t>
      </w:r>
      <w:r>
        <w:rPr>
          <w:rtl w:val="true"/>
        </w:rPr>
        <w:t>שאולי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כמצופה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הבדואי</w:t>
      </w:r>
      <w:r>
        <w:rPr>
          <w:rtl w:val="true"/>
        </w:rPr>
        <w:t xml:space="preserve">".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בשחרור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העצורים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מוחסיין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אלכמלאת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.) </w:t>
      </w:r>
      <w:r>
        <w:rPr>
          <w:b/>
          <w:b/>
          <w:bCs/>
          <w:rtl w:val="true"/>
        </w:rPr>
        <w:t>וסברי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אלכמלאת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מבורך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ומתעלמות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865/09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הנדל</w:t>
      </w:r>
      <w:r>
        <w:rPr>
          <w:rtl w:val="true"/>
        </w:rPr>
        <w:t>:</w:t>
      </w:r>
    </w:p>
    <w:p>
      <w:pPr>
        <w:pStyle w:val="Ruller4"/>
        <w:tabs>
          <w:tab w:val="clear" w:pos="720"/>
          <w:tab w:val="left" w:pos="800" w:leader="none"/>
        </w:tabs>
        <w:spacing w:lineRule="auto" w:line="240"/>
        <w:ind w:start="1080" w:end="0"/>
        <w:jc w:val="both"/>
        <w:rPr>
          <w:rFonts w:cs="David"/>
          <w:b/>
          <w:bCs/>
          <w:szCs w:val="28"/>
        </w:rPr>
      </w:pPr>
      <w:r>
        <w:rPr>
          <w:rFonts w:cs="David"/>
          <w:b/>
          <w:bCs/>
          <w:sz w:val="20"/>
          <w:rtl w:val="true"/>
        </w:rPr>
        <w:t>"</w:t>
      </w:r>
      <w:r>
        <w:rPr>
          <w:rFonts w:cs="David"/>
          <w:b/>
          <w:b/>
          <w:bCs/>
          <w:sz w:val="20"/>
          <w:sz w:val="20"/>
          <w:rtl w:val="true"/>
        </w:rPr>
        <w:t>כוחה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של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הגישה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שהוצגה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יפה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גם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לטענה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בדבר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עריכתה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של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סולחה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בין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הצדדים</w:t>
      </w:r>
      <w:r>
        <w:rPr>
          <w:rFonts w:cs="David"/>
          <w:b/>
          <w:bCs/>
          <w:sz w:val="20"/>
          <w:rtl w:val="true"/>
        </w:rPr>
        <w:t xml:space="preserve">. </w:t>
      </w:r>
      <w:r>
        <w:rPr>
          <w:rFonts w:cs="David"/>
          <w:b/>
          <w:b/>
          <w:bCs/>
          <w:sz w:val="20"/>
          <w:sz w:val="20"/>
          <w:rtl w:val="true"/>
        </w:rPr>
        <w:t>למנהג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חשיבות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ציבורית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ותרומה</w:t>
      </w:r>
      <w:r>
        <w:rPr>
          <w:rFonts w:cs="David"/>
          <w:b/>
          <w:bCs/>
          <w:sz w:val="20"/>
          <w:rtl w:val="true"/>
        </w:rPr>
        <w:t xml:space="preserve">, </w:t>
      </w:r>
      <w:r>
        <w:rPr>
          <w:rFonts w:cs="David"/>
          <w:b/>
          <w:b/>
          <w:bCs/>
          <w:sz w:val="20"/>
          <w:sz w:val="20"/>
          <w:rtl w:val="true"/>
        </w:rPr>
        <w:t>לא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אחת</w:t>
      </w:r>
      <w:r>
        <w:rPr>
          <w:rFonts w:cs="David"/>
          <w:b/>
          <w:bCs/>
          <w:sz w:val="20"/>
          <w:rtl w:val="true"/>
        </w:rPr>
        <w:t xml:space="preserve">, </w:t>
      </w:r>
      <w:r>
        <w:rPr>
          <w:rFonts w:cs="David"/>
          <w:b/>
          <w:b/>
          <w:bCs/>
          <w:sz w:val="20"/>
          <w:sz w:val="20"/>
          <w:rtl w:val="true"/>
        </w:rPr>
        <w:t>לשמירה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על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הסדר</w:t>
      </w:r>
      <w:r>
        <w:rPr>
          <w:rFonts w:cs="David"/>
          <w:b/>
          <w:bCs/>
          <w:sz w:val="20"/>
          <w:rtl w:val="true"/>
        </w:rPr>
        <w:t xml:space="preserve">. </w:t>
      </w:r>
      <w:r>
        <w:rPr>
          <w:rFonts w:cs="David"/>
          <w:b/>
          <w:b/>
          <w:bCs/>
          <w:sz w:val="20"/>
          <w:sz w:val="20"/>
          <w:rtl w:val="true"/>
        </w:rPr>
        <w:t>ברם</w:t>
      </w:r>
      <w:r>
        <w:rPr>
          <w:rFonts w:cs="David"/>
          <w:b/>
          <w:bCs/>
          <w:sz w:val="20"/>
          <w:rtl w:val="true"/>
        </w:rPr>
        <w:t xml:space="preserve">, </w:t>
      </w:r>
      <w:r>
        <w:rPr>
          <w:rFonts w:cs="David"/>
          <w:b/>
          <w:b/>
          <w:bCs/>
          <w:sz w:val="20"/>
          <w:sz w:val="20"/>
          <w:rtl w:val="true"/>
        </w:rPr>
        <w:t>ככל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שמדובר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בפגיעה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קשה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יותר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בזולת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יובן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ביתר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שאת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כי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לא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הצדדים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לסכסוך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הם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שיקבעו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את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חומרת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או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קולת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המעשה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הנדון</w:t>
      </w:r>
      <w:r>
        <w:rPr>
          <w:rFonts w:cs="David"/>
          <w:b/>
          <w:bCs/>
          <w:sz w:val="20"/>
          <w:rtl w:val="true"/>
        </w:rPr>
        <w:t xml:space="preserve">. </w:t>
      </w:r>
      <w:r>
        <w:rPr>
          <w:rFonts w:cs="David"/>
          <w:b/>
          <w:b/>
          <w:bCs/>
          <w:sz w:val="20"/>
          <w:sz w:val="20"/>
          <w:rtl w:val="true"/>
        </w:rPr>
        <w:t>זאת</w:t>
      </w:r>
      <w:r>
        <w:rPr>
          <w:rFonts w:cs="David"/>
          <w:b/>
          <w:bCs/>
          <w:sz w:val="20"/>
          <w:rtl w:val="true"/>
        </w:rPr>
        <w:t xml:space="preserve">, </w:t>
      </w:r>
      <w:r>
        <w:rPr>
          <w:rFonts w:cs="David"/>
          <w:b/>
          <w:b/>
          <w:bCs/>
          <w:sz w:val="20"/>
          <w:sz w:val="20"/>
          <w:rtl w:val="true"/>
        </w:rPr>
        <w:t>גם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אם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אקבל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את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טענת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הסנגוריה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ששולם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פיצוי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נכבד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למשפחת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המנוח</w:t>
      </w:r>
      <w:r>
        <w:rPr>
          <w:rFonts w:cs="David"/>
          <w:b/>
          <w:bCs/>
          <w:sz w:val="20"/>
          <w:rtl w:val="true"/>
        </w:rPr>
        <w:t xml:space="preserve">. </w:t>
      </w:r>
      <w:r>
        <w:rPr>
          <w:rFonts w:cs="David"/>
          <w:b/>
          <w:b/>
          <w:bCs/>
          <w:sz w:val="20"/>
          <w:sz w:val="20"/>
          <w:rtl w:val="true"/>
        </w:rPr>
        <w:t>העניין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ערכי</w:t>
      </w:r>
      <w:r>
        <w:rPr>
          <w:rFonts w:cs="David"/>
          <w:b/>
          <w:bCs/>
          <w:sz w:val="20"/>
          <w:rtl w:val="true"/>
        </w:rPr>
        <w:t>-</w:t>
      </w:r>
      <w:r>
        <w:rPr>
          <w:rFonts w:cs="David"/>
          <w:b/>
          <w:b/>
          <w:bCs/>
          <w:sz w:val="20"/>
          <w:sz w:val="20"/>
          <w:rtl w:val="true"/>
        </w:rPr>
        <w:t>נורמטיבי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ולא</w:t>
      </w:r>
      <w:r>
        <w:rPr>
          <w:rFonts w:eastAsia="Arial TUR;Arial" w:cs="Arial TUR;Arial"/>
          <w:b/>
          <w:b/>
          <w:bCs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rtl w:val="true"/>
        </w:rPr>
        <w:t>כספי</w:t>
      </w:r>
      <w:r>
        <w:rPr>
          <w:rFonts w:cs="David"/>
          <w:b/>
          <w:bCs/>
          <w:sz w:val="20"/>
          <w:rtl w:val="true"/>
        </w:rPr>
        <w:t xml:space="preserve">". </w:t>
      </w:r>
    </w:p>
    <w:p>
      <w:pPr>
        <w:pStyle w:val="Normal"/>
        <w:ind w:start="1080" w:end="0"/>
        <w:jc w:val="both"/>
        <w:rPr>
          <w:rFonts w:cs="David"/>
          <w:b/>
          <w:bCs/>
          <w:szCs w:val="28"/>
        </w:rPr>
      </w:pPr>
      <w:r>
        <w:rPr>
          <w:rFonts w:cs="David"/>
          <w:b/>
          <w:bCs/>
          <w:szCs w:val="28"/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הסוציואקונומי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במשאבים</w:t>
      </w:r>
      <w:r>
        <w:rPr>
          <w:rtl w:val="true"/>
        </w:rPr>
        <w:t xml:space="preserve">, </w:t>
      </w:r>
      <w:r>
        <w:rPr>
          <w:rtl w:val="true"/>
        </w:rPr>
        <w:t>בזמנה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הניצים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שהסתיים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, </w:t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2"/>
        </w:numPr>
        <w:ind w:hanging="450" w:start="1530" w:end="0"/>
        <w:jc w:val="both"/>
        <w:rPr/>
      </w:pP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16/2/09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2"/>
        </w:numPr>
        <w:ind w:hanging="450" w:start="1530" w:end="0"/>
        <w:jc w:val="both"/>
        <w:rPr/>
      </w:pP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380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.</w:t>
      </w:r>
    </w:p>
    <w:p>
      <w:pPr>
        <w:pStyle w:val="Normal"/>
        <w:numPr>
          <w:ilvl w:val="1"/>
          <w:numId w:val="2"/>
        </w:numPr>
        <w:ind w:hanging="450" w:start="153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numPr>
          <w:ilvl w:val="1"/>
          <w:numId w:val="2"/>
        </w:numPr>
        <w:ind w:hanging="450" w:start="153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color w:val="000000"/>
          <w:sz w:val="24"/>
          <w:sz w:val="24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י</w:t>
      </w:r>
      <w:r>
        <w:rPr>
          <w:b/>
          <w:bCs/>
          <w:color w:val="000000"/>
          <w:sz w:val="24"/>
          <w:rtl w:val="true"/>
        </w:rPr>
        <w:t>"</w:t>
      </w:r>
      <w:r>
        <w:rPr>
          <w:b/>
          <w:b/>
          <w:bCs/>
          <w:color w:val="000000"/>
          <w:sz w:val="24"/>
          <w:sz w:val="24"/>
          <w:rtl w:val="true"/>
        </w:rPr>
        <w:t>ט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בטבת</w:t>
      </w:r>
      <w:r>
        <w:rPr>
          <w:b/>
          <w:bCs/>
          <w:color w:val="000000"/>
          <w:sz w:val="24"/>
          <w:rtl w:val="true"/>
        </w:rPr>
        <w:t xml:space="preserve">, </w:t>
      </w:r>
      <w:r>
        <w:rPr>
          <w:b/>
          <w:b/>
          <w:bCs/>
          <w:color w:val="000000"/>
          <w:sz w:val="24"/>
          <w:sz w:val="24"/>
          <w:rtl w:val="true"/>
        </w:rPr>
        <w:t>תש</w:t>
      </w:r>
      <w:r>
        <w:rPr>
          <w:b/>
          <w:bCs/>
          <w:color w:val="000000"/>
          <w:sz w:val="24"/>
          <w:rtl w:val="true"/>
        </w:rPr>
        <w:t>"</w:t>
      </w:r>
      <w:r>
        <w:rPr>
          <w:b/>
          <w:b/>
          <w:bCs/>
          <w:color w:val="000000"/>
          <w:sz w:val="24"/>
          <w:sz w:val="24"/>
          <w:rtl w:val="true"/>
        </w:rPr>
        <w:t>ע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Cs/>
          <w:color w:val="000000"/>
          <w:sz w:val="24"/>
          <w:rtl w:val="true"/>
        </w:rPr>
        <w:t>(</w:t>
      </w:r>
      <w:r>
        <w:rPr>
          <w:b/>
          <w:bCs/>
          <w:color w:val="000000"/>
          <w:sz w:val="24"/>
        </w:rPr>
        <w:t>5</w:t>
      </w:r>
      <w:r>
        <w:rPr>
          <w:b/>
          <w:bCs/>
          <w:color w:val="000000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בינואר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Cs/>
          <w:color w:val="000000"/>
          <w:sz w:val="24"/>
        </w:rPr>
        <w:t>2010</w:t>
      </w:r>
      <w:r>
        <w:rPr>
          <w:b/>
          <w:bCs/>
          <w:color w:val="000000"/>
          <w:sz w:val="24"/>
          <w:rtl w:val="true"/>
        </w:rPr>
        <w:t xml:space="preserve">) </w:t>
      </w:r>
      <w:r>
        <w:rPr>
          <w:b/>
          <w:b/>
          <w:bCs/>
          <w:color w:val="000000"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הצדדים</w:t>
      </w:r>
      <w:r>
        <w:rPr>
          <w:b/>
          <w:bCs/>
          <w:color w:val="000000"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זלוצ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ובר </w:t>
      </w:r>
      <w:r>
        <w:rPr>
          <w:rFonts w:cs="David" w:ascii="David" w:hAnsi="David"/>
          <w:color w:val="000000"/>
          <w:sz w:val="22"/>
          <w:szCs w:val="22"/>
        </w:rPr>
        <w:t>54678313-8051/09</w:t>
      </w:r>
    </w:p>
    <w:p>
      <w:pPr>
        <w:pStyle w:val="Normal"/>
        <w:ind w:end="0"/>
        <w:jc w:val="both"/>
        <w:rPr>
          <w:rFonts w:ascii="David" w:hAnsi="David" w:cs="David"/>
          <w:b/>
          <w:bCs/>
          <w:color w:val="000000"/>
          <w:sz w:val="24"/>
          <w:szCs w:val="22"/>
        </w:rPr>
      </w:pPr>
      <w:r>
        <w:rPr>
          <w:rFonts w:cs="David" w:ascii="David" w:hAnsi="David"/>
          <w:b/>
          <w:bCs/>
          <w:color w:val="000000"/>
          <w:sz w:val="24"/>
          <w:szCs w:val="22"/>
          <w:rtl w:val="true"/>
        </w:rPr>
      </w:r>
    </w:p>
    <w:tbl>
      <w:tblPr>
        <w:bidiVisual w:val="true"/>
        <w:tblW w:w="1706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06"/>
      </w:tblGrid>
      <w:tr>
        <w:trPr/>
        <w:tc>
          <w:tcPr>
            <w:tcW w:w="170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Style w:val="LineNumber"/>
                <w:b/>
                <w:bCs/>
              </w:rPr>
            </w:pPr>
            <w:r>
              <w:rPr>
                <w:rStyle w:val="LineNumber"/>
                <w:b/>
                <w:b/>
                <w:bCs/>
                <w:rtl w:val="true"/>
              </w:rPr>
              <w:t>נ</w:t>
            </w:r>
            <w:r>
              <w:rPr>
                <w:rStyle w:val="LineNumber"/>
                <w:b/>
                <w:bCs/>
                <w:rtl w:val="true"/>
              </w:rPr>
              <w:t>.</w:t>
            </w:r>
            <w:r>
              <w:rPr>
                <w:rStyle w:val="LineNumber"/>
                <w:b/>
                <w:b/>
                <w:bCs/>
                <w:rtl w:val="true"/>
              </w:rPr>
              <w:t>זלוצ</w:t>
            </w:r>
            <w:r>
              <w:rPr>
                <w:rStyle w:val="LineNumber"/>
                <w:b/>
                <w:bCs/>
                <w:rtl w:val="true"/>
              </w:rPr>
              <w:t>'</w:t>
            </w:r>
            <w:r>
              <w:rPr>
                <w:rStyle w:val="LineNumber"/>
                <w:b/>
                <w:b/>
                <w:bCs/>
                <w:rtl w:val="true"/>
              </w:rPr>
              <w:t>ובר</w:t>
            </w:r>
            <w:r>
              <w:rPr>
                <w:rStyle w:val="LineNumber"/>
                <w:b/>
                <w:bCs/>
                <w:rtl w:val="true"/>
              </w:rPr>
              <w:t xml:space="preserve">, </w:t>
            </w:r>
            <w:r>
              <w:rPr>
                <w:rStyle w:val="LineNumber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rStyle w:val="LineNumber"/>
          <w:b/>
          <w:b/>
          <w:bCs/>
          <w:color w:val="000000"/>
          <w:rtl w:val="true"/>
        </w:rPr>
        <w:t>נוסח</w:t>
      </w:r>
      <w:r>
        <w:rPr>
          <w:rStyle w:val="LineNumber"/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rStyle w:val="LineNumber"/>
          <w:b/>
          <w:b/>
          <w:bCs/>
          <w:color w:val="000000"/>
          <w:rtl w:val="true"/>
        </w:rPr>
        <w:t>מסמך</w:t>
      </w:r>
      <w:r>
        <w:rPr>
          <w:rStyle w:val="LineNumber"/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rStyle w:val="LineNumber"/>
          <w:b/>
          <w:b/>
          <w:bCs/>
          <w:color w:val="000000"/>
          <w:rtl w:val="true"/>
        </w:rPr>
        <w:t>זה</w:t>
      </w:r>
      <w:r>
        <w:rPr>
          <w:rStyle w:val="LineNumber"/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rStyle w:val="LineNumber"/>
          <w:b/>
          <w:b/>
          <w:bCs/>
          <w:color w:val="000000"/>
          <w:rtl w:val="true"/>
        </w:rPr>
        <w:t>כפוף</w:t>
      </w:r>
      <w:r>
        <w:rPr>
          <w:rStyle w:val="LineNumber"/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rStyle w:val="LineNumber"/>
          <w:b/>
          <w:b/>
          <w:bCs/>
          <w:color w:val="000000"/>
          <w:rtl w:val="true"/>
        </w:rPr>
        <w:t>לשינויי</w:t>
      </w:r>
      <w:r>
        <w:rPr>
          <w:rStyle w:val="LineNumber"/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rStyle w:val="LineNumber"/>
          <w:b/>
          <w:b/>
          <w:bCs/>
          <w:color w:val="000000"/>
          <w:rtl w:val="true"/>
        </w:rPr>
        <w:t>ניסוח</w:t>
      </w:r>
      <w:r>
        <w:rPr>
          <w:rStyle w:val="LineNumber"/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rStyle w:val="LineNumber"/>
          <w:b/>
          <w:b/>
          <w:bCs/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center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הודעה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למנויים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עריכה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ושינויים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במסמכי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פסיקה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חקיקה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ועוד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באתר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נבו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 xml:space="preserve">- </w:t>
      </w:r>
      <w:r>
        <w:rPr>
          <w:b/>
          <w:b/>
          <w:bCs/>
          <w:color w:val="000000"/>
          <w:rtl w:val="true"/>
        </w:rPr>
        <w:t>הקש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כאן</w:t>
      </w:r>
    </w:p>
    <w:sectPr>
      <w:headerReference w:type="default" r:id="rId15"/>
      <w:footerReference w:type="default" r:id="rId16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/Users/liorb/Downloads/study2025-p2/m09008051-131.doc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8051/09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מוחייה אלכמלאת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  <w:lvl w:ilvl="1">
      <w:start w:val="1"/>
      <w:numFmt w:val="hebrew1"/>
      <w:lvlText w:val="%2."/>
      <w:lvlJc w:val="start"/>
      <w:pPr>
        <w:tabs>
          <w:tab w:val="num" w:pos="1530"/>
        </w:tabs>
        <w:ind w:start="1530" w:hanging="45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1080" w:end="0"/>
      <w:jc w:val="both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1080" w:end="0"/>
      <w:jc w:val="both"/>
      <w:outlineLvl w:val="5"/>
    </w:pPr>
    <w:rPr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Ruller4">
    <w:name w:val="Ruller4"/>
    <w:basedOn w:val="Normal"/>
    <w:qFormat/>
    <w:pPr>
      <w:overflowPunct w:val="false"/>
      <w:autoSpaceDE w:val="false"/>
      <w:ind w:hanging="0" w:start="0" w:end="0"/>
      <w:jc w:val="both"/>
    </w:pPr>
    <w:rPr>
      <w:rFonts w:ascii="Arial TUR;Arial" w:hAnsi="Arial TUR;Arial" w:cs="Times New Roman"/>
      <w:spacing w:val="10"/>
      <w:sz w:val="22"/>
      <w:szCs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57914" TargetMode="External"/><Relationship Id="rId3" Type="http://schemas.openxmlformats.org/officeDocument/2006/relationships/hyperlink" Target="http://www.nevo.co.il/case/2257914" TargetMode="External"/><Relationship Id="rId4" Type="http://schemas.openxmlformats.org/officeDocument/2006/relationships/hyperlink" Target="http://www.nevo.co.il/case/5890134" TargetMode="External"/><Relationship Id="rId5" Type="http://schemas.openxmlformats.org/officeDocument/2006/relationships/hyperlink" Target="http://www.nevo.co.il/case/5765900" TargetMode="External"/><Relationship Id="rId6" Type="http://schemas.openxmlformats.org/officeDocument/2006/relationships/hyperlink" Target="http://www.nevo.co.il/case/5890134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5603708" TargetMode="External"/><Relationship Id="rId10" Type="http://schemas.openxmlformats.org/officeDocument/2006/relationships/hyperlink" Target="http://www.nevo.co.il/case/17924757" TargetMode="External"/><Relationship Id="rId11" Type="http://schemas.openxmlformats.org/officeDocument/2006/relationships/hyperlink" Target="http://www.nevo.co.il/case/6049283" TargetMode="External"/><Relationship Id="rId12" Type="http://schemas.openxmlformats.org/officeDocument/2006/relationships/hyperlink" Target="http://www.nevo.co.il/case/5603708" TargetMode="External"/><Relationship Id="rId13" Type="http://schemas.openxmlformats.org/officeDocument/2006/relationships/hyperlink" Target="http://www.nevo.co.il/case/5603708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2016-02-08T08:47:00Z</dcterms:created>
  <dc:creator> </dc:creator>
  <dc:description/>
  <cp:keywords/>
  <dc:language>en-IL</dc:language>
  <cp:lastModifiedBy>hofit</cp:lastModifiedBy>
  <cp:lastPrinted>2010-01-05T17:17:00Z</cp:lastPrinted>
  <dcterms:modified xsi:type="dcterms:W3CDTF">2016-02-08T08:47:00Z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מוחייה אלכמלאת</vt:lpwstr>
  </property>
  <property fmtid="{D5CDD505-2E9C-101B-9397-08002B2CF9AE}" pid="4" name="CASENOTES1">
    <vt:lpwstr>ProcID=133;209&amp;PartA=6563&amp;PartC=06</vt:lpwstr>
  </property>
  <property fmtid="{D5CDD505-2E9C-101B-9397-08002B2CF9AE}" pid="5" name="CASESLISTTMP1">
    <vt:lpwstr>2257914:2;5890134:2;5765900;5603708:3;17924757;6049283</vt:lpwstr>
  </property>
  <property fmtid="{D5CDD505-2E9C-101B-9397-08002B2CF9AE}" pid="6" name="CITY">
    <vt:lpwstr>ב"ש</vt:lpwstr>
  </property>
  <property fmtid="{D5CDD505-2E9C-101B-9397-08002B2CF9AE}" pid="7" name="DATE">
    <vt:lpwstr>20100106</vt:lpwstr>
  </property>
  <property fmtid="{D5CDD505-2E9C-101B-9397-08002B2CF9AE}" pid="8" name="DELEMATA">
    <vt:lpwstr>http://elyon2.court.gov.il/scripts9/mgrqispi93.dll?Appname=eScourt&amp;Prgname=GetFileDetails&amp;Arguments=-N2010-001394-0</vt:lpwstr>
  </property>
  <property fmtid="{D5CDD505-2E9C-101B-9397-08002B2CF9AE}" pid="9" name="ISABSTRACT">
    <vt:lpwstr>Y</vt:lpwstr>
  </property>
  <property fmtid="{D5CDD505-2E9C-101B-9397-08002B2CF9AE}" pid="10" name="JUDGE">
    <vt:lpwstr>נ. זלוצ'ובר</vt:lpwstr>
  </property>
  <property fmtid="{D5CDD505-2E9C-101B-9397-08002B2CF9AE}" pid="11" name="LAWLISTTMP1">
    <vt:lpwstr>70301:2</vt:lpwstr>
  </property>
  <property fmtid="{D5CDD505-2E9C-101B-9397-08002B2CF9AE}" pid="12" name="LAWYER">
    <vt:lpwstr>שרה טל;דן גרובס;אבישור</vt:lpwstr>
  </property>
  <property fmtid="{D5CDD505-2E9C-101B-9397-08002B2CF9AE}" pid="13" name="LINKK1">
    <vt:lpwstr>http://www.nevo.co.il/Psika_word/mechozi/m09020438-267.doc;להחלטה במחוזי (15-03-2009)#בש 20438/09 מדינת ישראל נ' מוחיית אלכמאלת בן מוחסן#שופטים: צלקובניק יורם#עו''ד: ברסאנו ענבל, אבישור</vt:lpwstr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>http://www.nevo.co.il/Psika_word/elyon/09033480-c01.doc;להחלטה בעליון (27-04-2009)#בשפ 3348/09 מוחייה אלכמלאת נ' מדינת ישראל#שופטים: מ' נאור#עו''ד: שאול כהן, רון אבישור</vt:lpwstr>
  </property>
  <property fmtid="{D5CDD505-2E9C-101B-9397-08002B2CF9AE}" pid="18" name="LINKK3">
    <vt:lpwstr>http://www.nevo.co.il/Psika_word/mechozi/m09020438-267.doc;להחלטה במחוזי (15-03-2009)#בש 20438/09 מדינת ישראל נ' מוחיית אלכמאלת בן מוחסן#שופטים: צלקובניק יורם#עו''ד: ברסאנו ענבל, אבישור</vt:lpwstr>
  </property>
  <property fmtid="{D5CDD505-2E9C-101B-9397-08002B2CF9AE}" pid="19" name="LINKK4">
    <vt:lpwstr>http://www.nevo.co.il/Psika_word/elyon/09033480-c01.doc;להחלטה בעליון (27-04-2009)#בשפ 3348/09 מוחייה אלכמלאת נ' מדינת ישראל#שופטים: מ' נאור#עו''ד: שאול כהן, רון אבישור</vt:lpwstr>
  </property>
  <property fmtid="{D5CDD505-2E9C-101B-9397-08002B2CF9AE}" pid="20" name="LINKK5">
    <vt:lpwstr>http://www.nevo.co.il/Psika_word/elyon/10013940-o03.doc;לפסק-דין בעליון (29-11-2010)#עפ 1394/10 מוחייה אלכמלאת נ' מדינת ישראל#שופטים: א' א' לוי, א' גרוניס, ע' ארבל#עו''ד: שירות המבחן, מאיה חדד גב' ברכה וייס, אבישור רון</vt:lpwstr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</vt:lpwstr>
  </property>
  <property fmtid="{D5CDD505-2E9C-101B-9397-08002B2CF9AE}" pid="33" name="PROCNUM">
    <vt:lpwstr>8051</vt:lpwstr>
  </property>
  <property fmtid="{D5CDD505-2E9C-101B-9397-08002B2CF9AE}" pid="34" name="PROCYEAR">
    <vt:lpwstr>09</vt:lpwstr>
  </property>
  <property fmtid="{D5CDD505-2E9C-101B-9397-08002B2CF9AE}" pid="35" name="PSAKDIN">
    <vt:lpwstr>גזר-דין</vt:lpwstr>
  </property>
  <property fmtid="{D5CDD505-2E9C-101B-9397-08002B2CF9AE}" pid="36" name="RemarkFileName">
    <vt:lpwstr>mechozi m09008051 131 htm</vt:lpwstr>
  </property>
  <property fmtid="{D5CDD505-2E9C-101B-9397-08002B2CF9AE}" pid="37" name="TYPE">
    <vt:lpwstr>2</vt:lpwstr>
  </property>
  <property fmtid="{D5CDD505-2E9C-101B-9397-08002B2CF9AE}" pid="38" name="TYPE_ABS_DATE">
    <vt:lpwstr>390020100106</vt:lpwstr>
  </property>
  <property fmtid="{D5CDD505-2E9C-101B-9397-08002B2CF9AE}" pid="39" name="TYPE_N_DATE">
    <vt:lpwstr>39020100106</vt:lpwstr>
  </property>
  <property fmtid="{D5CDD505-2E9C-101B-9397-08002B2CF9AE}" pid="40" name="VOLUME">
    <vt:lpwstr/>
  </property>
  <property fmtid="{D5CDD505-2E9C-101B-9397-08002B2CF9AE}" pid="41" name="WORDNUMPAGES">
    <vt:lpwstr>7</vt:lpwstr>
  </property>
</Properties>
</file>