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0"/>
        <w:jc w:val="center"/>
        <w:rPr/>
      </w:pPr>
      <w:bookmarkStart w:id="0" w:name="LastJudge"/>
      <w:bookmarkEnd w:id="0"/>
      <w:r>
        <w:rPr>
          <w:b/>
          <w:b/>
          <w:bCs/>
          <w:szCs w:val="32"/>
          <w:rtl w:val="true"/>
        </w:rPr>
        <w:t>בתי</w:t>
      </w:r>
      <w:r>
        <w:rPr>
          <w:rFonts w:cs="Times New Roman"/>
          <w:b/>
          <w:b/>
          <w:bCs/>
          <w:szCs w:val="32"/>
          <w:rtl w:val="true"/>
        </w:rPr>
        <w:t xml:space="preserve"> </w:t>
      </w:r>
      <w:r>
        <w:rPr>
          <w:b/>
          <w:b/>
          <w:bCs/>
          <w:szCs w:val="32"/>
          <w:rtl w:val="true"/>
        </w:rPr>
        <w:t>המשפט</w:t>
      </w:r>
      <w:r>
        <w:rPr>
          <w:rFonts w:cs="Times New Roman"/>
          <w:rtl w:val="true"/>
        </w:rPr>
        <w:t xml:space="preserve"> </w:t>
      </w:r>
    </w:p>
    <w:tbl>
      <w:tblPr>
        <w:bidiVisual w:val="true"/>
        <w:tblW w:w="8529" w:type="dxa"/>
        <w:jc w:val="end"/>
        <w:tblInd w:w="0" w:type="dxa"/>
        <w:tblLayout w:type="fixed"/>
        <w:tblCellMar>
          <w:top w:w="0" w:type="dxa"/>
          <w:start w:w="108" w:type="dxa"/>
          <w:bottom w:w="0" w:type="dxa"/>
          <w:end w:w="108" w:type="dxa"/>
        </w:tblCellMar>
      </w:tblPr>
      <w:tblGrid>
        <w:gridCol w:w="908"/>
        <w:gridCol w:w="4706"/>
        <w:gridCol w:w="964"/>
        <w:gridCol w:w="1951"/>
      </w:tblGrid>
      <w:tr>
        <w:trPr>
          <w:trHeight w:val="195" w:hRule="atLeast"/>
          <w:cantSplit w:val="true"/>
        </w:trPr>
        <w:tc>
          <w:tcPr>
            <w:tcW w:w="5614" w:type="dxa"/>
            <w:gridSpan w:val="2"/>
            <w:vMerge w:val="restart"/>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בית</w:t>
            </w:r>
            <w:r>
              <w:rPr>
                <w:rFonts w:cs="Times New Roman"/>
                <w:b/>
                <w:b/>
                <w:bCs/>
                <w:sz w:val="32"/>
                <w:sz w:val="32"/>
                <w:szCs w:val="32"/>
                <w:rtl w:val="true"/>
              </w:rPr>
              <w:t xml:space="preserve"> </w:t>
            </w:r>
            <w:r>
              <w:rPr>
                <w:b/>
                <w:b/>
                <w:bCs/>
                <w:sz w:val="32"/>
                <w:sz w:val="32"/>
                <w:szCs w:val="32"/>
                <w:rtl w:val="true"/>
              </w:rPr>
              <w:t>משפט</w:t>
            </w:r>
            <w:r>
              <w:rPr>
                <w:rFonts w:cs="Times New Roman"/>
                <w:b/>
                <w:b/>
                <w:bCs/>
                <w:sz w:val="32"/>
                <w:sz w:val="32"/>
                <w:szCs w:val="32"/>
                <w:rtl w:val="true"/>
              </w:rPr>
              <w:t xml:space="preserve"> </w:t>
            </w:r>
            <w:r>
              <w:rPr>
                <w:b/>
                <w:b/>
                <w:bCs/>
                <w:sz w:val="32"/>
                <w:sz w:val="32"/>
                <w:szCs w:val="32"/>
                <w:rtl w:val="true"/>
              </w:rPr>
              <w:t>מחוזי</w:t>
            </w:r>
            <w:r>
              <w:rPr>
                <w:rFonts w:cs="Times New Roman"/>
                <w:b/>
                <w:b/>
                <w:bCs/>
                <w:sz w:val="32"/>
                <w:sz w:val="32"/>
                <w:szCs w:val="32"/>
                <w:rtl w:val="true"/>
              </w:rPr>
              <w:t xml:space="preserve"> </w:t>
            </w:r>
            <w:r>
              <w:rPr>
                <w:b/>
                <w:b/>
                <w:bCs/>
                <w:sz w:val="32"/>
                <w:sz w:val="32"/>
                <w:szCs w:val="32"/>
                <w:rtl w:val="true"/>
              </w:rPr>
              <w:t>באר</w:t>
            </w:r>
            <w:r>
              <w:rPr>
                <w:rFonts w:cs="Times New Roman"/>
                <w:b/>
                <w:b/>
                <w:bCs/>
                <w:sz w:val="32"/>
                <w:sz w:val="32"/>
                <w:szCs w:val="32"/>
                <w:rtl w:val="true"/>
              </w:rPr>
              <w:t xml:space="preserve"> </w:t>
            </w:r>
            <w:r>
              <w:rPr>
                <w:b/>
                <w:b/>
                <w:bCs/>
                <w:sz w:val="32"/>
                <w:sz w:val="32"/>
                <w:szCs w:val="32"/>
                <w:rtl w:val="true"/>
              </w:rPr>
              <w:t>שבע</w:t>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פ</w:t>
            </w:r>
            <w:r>
              <w:rPr>
                <w:rFonts w:cs="Times New Roman"/>
                <w:b/>
                <w:b/>
                <w:bCs/>
                <w:sz w:val="32"/>
                <w:sz w:val="32"/>
                <w:szCs w:val="32"/>
                <w:rtl w:val="true"/>
              </w:rPr>
              <w:t xml:space="preserve">  </w:t>
            </w:r>
            <w:r>
              <w:rPr>
                <w:b/>
                <w:bCs/>
                <w:sz w:val="32"/>
                <w:szCs w:val="32"/>
              </w:rPr>
              <w:t>008053/05</w:t>
            </w:r>
          </w:p>
        </w:tc>
      </w:tr>
      <w:tr>
        <w:trPr>
          <w:trHeight w:val="195" w:hRule="atLeast"/>
          <w:cantSplit w:val="true"/>
        </w:trPr>
        <w:tc>
          <w:tcPr>
            <w:tcW w:w="5614" w:type="dxa"/>
            <w:gridSpan w:val="2"/>
            <w:vMerge w:val="continue"/>
            <w:tcBorders>
              <w:top w:val="single" w:sz="4" w:space="0" w:color="000000"/>
              <w:start w:val="single" w:sz="4" w:space="0" w:color="000000"/>
              <w:bottom w:val="single" w:sz="4" w:space="0" w:color="000000"/>
              <w:end w:val="single" w:sz="4" w:space="0" w:color="000000"/>
            </w:tcBorders>
          </w:tcPr>
          <w:p>
            <w:pPr>
              <w:pStyle w:val="Normal"/>
              <w:bidi w:val="0"/>
              <w:snapToGrid w:val="false"/>
              <w:spacing w:lineRule="auto" w:line="240"/>
              <w:jc w:val="start"/>
              <w:rPr>
                <w:b/>
                <w:bCs/>
                <w:sz w:val="32"/>
                <w:szCs w:val="32"/>
              </w:rPr>
            </w:pPr>
            <w:r>
              <w:rPr>
                <w:b/>
                <w:bCs/>
                <w:sz w:val="32"/>
                <w:szCs w:val="32"/>
              </w:rPr>
            </w:r>
          </w:p>
        </w:tc>
        <w:tc>
          <w:tcPr>
            <w:tcW w:w="2915" w:type="dxa"/>
            <w:gridSpan w:val="2"/>
            <w:tcBorders>
              <w:top w:val="single" w:sz="4" w:space="0" w:color="000000"/>
              <w:start w:val="single" w:sz="4" w:space="0" w:color="000000"/>
              <w:bottom w:val="single" w:sz="4" w:space="0" w:color="000000"/>
              <w:end w:val="single" w:sz="4" w:space="0" w:color="000000"/>
            </w:tcBorders>
          </w:tcPr>
          <w:p>
            <w:pPr>
              <w:pStyle w:val="Normal"/>
              <w:snapToGrid w:val="false"/>
              <w:ind w:end="0"/>
              <w:jc w:val="both"/>
              <w:rPr>
                <w:b/>
                <w:bCs/>
                <w:sz w:val="32"/>
                <w:szCs w:val="32"/>
              </w:rPr>
            </w:pPr>
            <w:r>
              <w:rPr>
                <w:b/>
                <w:bCs/>
                <w:sz w:val="32"/>
                <w:szCs w:val="32"/>
                <w:rtl w:val="true"/>
              </w:rPr>
            </w:r>
          </w:p>
        </w:tc>
      </w:tr>
      <w:tr>
        <w:trPr>
          <w:trHeight w:val="286" w:hRule="atLeast"/>
        </w:trPr>
        <w:tc>
          <w:tcPr>
            <w:tcW w:w="908"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בפני</w:t>
            </w:r>
            <w:r>
              <w:rPr>
                <w:b/>
                <w:bCs/>
                <w:sz w:val="32"/>
                <w:szCs w:val="32"/>
                <w:rtl w:val="true"/>
              </w:rPr>
              <w:t>:</w:t>
            </w:r>
          </w:p>
        </w:tc>
        <w:tc>
          <w:tcPr>
            <w:tcW w:w="4706"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
                <w:bCs/>
                <w:sz w:val="32"/>
                <w:sz w:val="32"/>
                <w:szCs w:val="32"/>
                <w:rtl w:val="true"/>
              </w:rPr>
              <w:t>כבוד</w:t>
            </w:r>
            <w:r>
              <w:rPr>
                <w:rFonts w:cs="Times New Roman"/>
                <w:b/>
                <w:b/>
                <w:bCs/>
                <w:sz w:val="32"/>
                <w:sz w:val="32"/>
                <w:szCs w:val="32"/>
                <w:rtl w:val="true"/>
              </w:rPr>
              <w:t xml:space="preserve"> </w:t>
            </w:r>
            <w:r>
              <w:rPr>
                <w:b/>
                <w:b/>
                <w:bCs/>
                <w:sz w:val="32"/>
                <w:sz w:val="32"/>
                <w:szCs w:val="32"/>
                <w:rtl w:val="true"/>
              </w:rPr>
              <w:t>השופטת</w:t>
            </w:r>
            <w:r>
              <w:rPr>
                <w:rFonts w:cs="Times New Roman"/>
                <w:b/>
                <w:b/>
                <w:bCs/>
                <w:sz w:val="32"/>
                <w:sz w:val="32"/>
                <w:szCs w:val="32"/>
                <w:rtl w:val="true"/>
              </w:rPr>
              <w:t xml:space="preserve"> </w:t>
            </w:r>
            <w:r>
              <w:rPr>
                <w:b/>
                <w:b/>
                <w:bCs/>
                <w:sz w:val="32"/>
                <w:sz w:val="32"/>
                <w:szCs w:val="32"/>
                <w:rtl w:val="true"/>
              </w:rPr>
              <w:t>רחל</w:t>
            </w:r>
            <w:r>
              <w:rPr>
                <w:rFonts w:cs="Times New Roman"/>
                <w:b/>
                <w:b/>
                <w:bCs/>
                <w:sz w:val="32"/>
                <w:sz w:val="32"/>
                <w:szCs w:val="32"/>
                <w:rtl w:val="true"/>
              </w:rPr>
              <w:t xml:space="preserve"> </w:t>
            </w:r>
            <w:r>
              <w:rPr>
                <w:b/>
                <w:b/>
                <w:bCs/>
                <w:sz w:val="32"/>
                <w:sz w:val="32"/>
                <w:szCs w:val="32"/>
                <w:rtl w:val="true"/>
              </w:rPr>
              <w:t>ברקאי</w:t>
            </w:r>
          </w:p>
        </w:tc>
        <w:tc>
          <w:tcPr>
            <w:tcW w:w="964" w:type="dxa"/>
            <w:tcBorders>
              <w:top w:val="single" w:sz="4" w:space="0" w:color="000000"/>
              <w:start w:val="single" w:sz="4" w:space="0" w:color="000000"/>
              <w:bottom w:val="single" w:sz="4" w:space="0" w:color="000000"/>
              <w:end w:val="single" w:sz="4" w:space="0" w:color="000000"/>
            </w:tcBorders>
            <w:tcMar>
              <w:start w:w="28" w:type="dxa"/>
              <w:end w:w="28" w:type="dxa"/>
            </w:tcMar>
          </w:tcPr>
          <w:p>
            <w:pPr>
              <w:pStyle w:val="Normal"/>
              <w:ind w:end="0"/>
              <w:jc w:val="both"/>
              <w:rPr>
                <w:b/>
                <w:bCs/>
                <w:sz w:val="32"/>
                <w:szCs w:val="32"/>
              </w:rPr>
            </w:pPr>
            <w:r>
              <w:rPr>
                <w:b/>
                <w:b/>
                <w:bCs/>
                <w:sz w:val="32"/>
                <w:sz w:val="32"/>
                <w:szCs w:val="32"/>
                <w:rtl w:val="true"/>
              </w:rPr>
              <w:t>תאריך</w:t>
            </w:r>
            <w:r>
              <w:rPr>
                <w:b/>
                <w:bCs/>
                <w:sz w:val="32"/>
                <w:szCs w:val="32"/>
                <w:rtl w:val="true"/>
              </w:rPr>
              <w:t>:</w:t>
            </w:r>
          </w:p>
        </w:tc>
        <w:tc>
          <w:tcPr>
            <w:tcW w:w="1951" w:type="dxa"/>
            <w:tcBorders>
              <w:top w:val="single" w:sz="4" w:space="0" w:color="000000"/>
              <w:start w:val="single" w:sz="4" w:space="0" w:color="000000"/>
              <w:bottom w:val="single" w:sz="4" w:space="0" w:color="000000"/>
              <w:end w:val="single" w:sz="4" w:space="0" w:color="000000"/>
            </w:tcBorders>
          </w:tcPr>
          <w:p>
            <w:pPr>
              <w:pStyle w:val="Normal"/>
              <w:ind w:end="0"/>
              <w:jc w:val="both"/>
              <w:rPr>
                <w:b/>
                <w:bCs/>
                <w:sz w:val="32"/>
                <w:szCs w:val="32"/>
              </w:rPr>
            </w:pPr>
            <w:r>
              <w:rPr>
                <w:b/>
                <w:bCs/>
                <w:sz w:val="32"/>
                <w:szCs w:val="32"/>
              </w:rPr>
              <w:t>12/03/2006</w:t>
            </w:r>
          </w:p>
        </w:tc>
      </w:tr>
    </w:tbl>
    <w:p>
      <w:pPr>
        <w:pStyle w:val="Style11"/>
        <w:ind w:end="0"/>
        <w:jc w:val="both"/>
        <w:rPr/>
      </w:pPr>
      <w:r>
        <w:rPr>
          <w:rtl w:val="true"/>
        </w:rPr>
      </w:r>
    </w:p>
    <w:tbl>
      <w:tblPr>
        <w:bidiVisual w:val="true"/>
        <w:tblW w:w="8591" w:type="dxa"/>
        <w:jc w:val="start"/>
        <w:tblInd w:w="207" w:type="dxa"/>
        <w:tblLayout w:type="fixed"/>
        <w:tblCellMar>
          <w:top w:w="0" w:type="dxa"/>
          <w:start w:w="107" w:type="dxa"/>
          <w:bottom w:w="0" w:type="dxa"/>
          <w:end w:w="107" w:type="dxa"/>
        </w:tblCellMar>
      </w:tblPr>
      <w:tblGrid>
        <w:gridCol w:w="1362"/>
        <w:gridCol w:w="1757"/>
        <w:gridCol w:w="3063"/>
        <w:gridCol w:w="2409"/>
      </w:tblGrid>
      <w:tr>
        <w:trPr/>
        <w:tc>
          <w:tcPr>
            <w:tcW w:w="1362" w:type="dxa"/>
            <w:tcBorders/>
          </w:tcPr>
          <w:p>
            <w:pPr>
              <w:pStyle w:val="Style11"/>
              <w:ind w:end="0"/>
              <w:jc w:val="both"/>
              <w:rPr>
                <w:szCs w:val="26"/>
              </w:rPr>
            </w:pPr>
            <w:bookmarkStart w:id="1" w:name="FirstAppellant"/>
            <w:bookmarkStart w:id="2" w:name="שם_א"/>
            <w:bookmarkEnd w:id="1"/>
            <w:bookmarkEnd w:id="2"/>
            <w:r>
              <w:rPr>
                <w:rtl w:val="true"/>
              </w:rPr>
              <w:t>בעניין</w:t>
            </w:r>
            <w:r>
              <w:rPr>
                <w:rtl w:val="true"/>
              </w:rPr>
              <w:t>:</w:t>
            </w:r>
          </w:p>
        </w:tc>
        <w:tc>
          <w:tcPr>
            <w:tcW w:w="4820" w:type="dxa"/>
            <w:gridSpan w:val="2"/>
            <w:tcBorders/>
          </w:tcPr>
          <w:p>
            <w:pPr>
              <w:pStyle w:val="Style11"/>
              <w:ind w:end="0"/>
              <w:jc w:val="both"/>
              <w:rPr/>
            </w:pPr>
            <w:r>
              <w:rPr>
                <w:rtl w:val="true"/>
              </w:rPr>
              <w:t>מדינת</w:t>
            </w:r>
            <w:r>
              <w:rPr>
                <w:rFonts w:cs="Times New Roman"/>
                <w:rtl w:val="true"/>
              </w:rPr>
              <w:t xml:space="preserve"> </w:t>
            </w:r>
            <w:r>
              <w:rPr>
                <w:rtl w:val="true"/>
              </w:rPr>
              <w:t>ישראל</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3" w:name="בא_כוח_א"/>
            <w:bookmarkStart w:id="4" w:name="בא_כוח_א"/>
            <w:bookmarkEnd w:id="4"/>
          </w:p>
        </w:tc>
        <w:tc>
          <w:tcPr>
            <w:tcW w:w="1757" w:type="dxa"/>
            <w:tcBorders/>
          </w:tcPr>
          <w:p>
            <w:pPr>
              <w:pStyle w:val="Style11"/>
              <w:snapToGrid w:val="false"/>
              <w:ind w:end="0"/>
              <w:jc w:val="both"/>
              <w:rPr>
                <w:szCs w:val="26"/>
              </w:rPr>
            </w:pPr>
            <w:r>
              <w:rPr>
                <w:szCs w:val="26"/>
                <w:rtl w:val="true"/>
              </w:rPr>
            </w:r>
          </w:p>
        </w:tc>
        <w:tc>
          <w:tcPr>
            <w:tcW w:w="3063" w:type="dxa"/>
            <w:tcBorders/>
          </w:tcPr>
          <w:p>
            <w:pPr>
              <w:pStyle w:val="Style11"/>
              <w:snapToGrid w:val="false"/>
              <w:ind w:end="0"/>
              <w:jc w:val="both"/>
              <w:rPr/>
            </w:pPr>
            <w:r>
              <w:rPr>
                <w:rtl w:val="true"/>
              </w:rPr>
            </w:r>
          </w:p>
        </w:tc>
        <w:tc>
          <w:tcPr>
            <w:tcW w:w="2409" w:type="dxa"/>
            <w:tcBorders/>
          </w:tcPr>
          <w:p>
            <w:pPr>
              <w:pStyle w:val="Style11"/>
              <w:ind w:end="0"/>
              <w:jc w:val="both"/>
              <w:rPr/>
            </w:pPr>
            <w:r>
              <w:rPr>
                <w:rtl w:val="true"/>
              </w:rPr>
              <w:t>המאשימה</w:t>
            </w:r>
          </w:p>
        </w:tc>
      </w:tr>
      <w:tr>
        <w:trPr/>
        <w:tc>
          <w:tcPr>
            <w:tcW w:w="1362" w:type="dxa"/>
            <w:tcBorders/>
          </w:tcPr>
          <w:p>
            <w:pPr>
              <w:pStyle w:val="Style11"/>
              <w:snapToGrid w:val="false"/>
              <w:ind w:end="0"/>
              <w:jc w:val="both"/>
              <w:rPr/>
            </w:pPr>
            <w:r>
              <w:rPr>
                <w:rtl w:val="true"/>
              </w:rPr>
            </w:r>
          </w:p>
        </w:tc>
        <w:tc>
          <w:tcPr>
            <w:tcW w:w="4820" w:type="dxa"/>
            <w:gridSpan w:val="2"/>
            <w:tcBorders/>
          </w:tcPr>
          <w:p>
            <w:pPr>
              <w:pStyle w:val="Style11"/>
              <w:ind w:end="0"/>
              <w:jc w:val="center"/>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5" w:name="שם_ב"/>
            <w:bookmarkStart w:id="6" w:name="שם_ב"/>
            <w:bookmarkEnd w:id="6"/>
          </w:p>
        </w:tc>
        <w:tc>
          <w:tcPr>
            <w:tcW w:w="4820" w:type="dxa"/>
            <w:gridSpan w:val="2"/>
            <w:tcBorders/>
          </w:tcPr>
          <w:p>
            <w:pPr>
              <w:pStyle w:val="Style11"/>
              <w:ind w:end="0"/>
              <w:jc w:val="both"/>
              <w:rPr/>
            </w:pPr>
            <w:r>
              <w:rPr>
                <w:rtl w:val="true"/>
              </w:rPr>
              <w:t>חליל</w:t>
            </w:r>
            <w:r>
              <w:rPr>
                <w:rFonts w:cs="Times New Roman"/>
                <w:rtl w:val="true"/>
              </w:rPr>
              <w:t xml:space="preserve"> </w:t>
            </w:r>
            <w:r>
              <w:rPr>
                <w:rtl w:val="true"/>
              </w:rPr>
              <w:t>ג</w:t>
            </w:r>
            <w:r>
              <w:rPr>
                <w:rtl w:val="true"/>
              </w:rPr>
              <w:t>'</w:t>
            </w:r>
            <w:r>
              <w:rPr>
                <w:rtl w:val="true"/>
              </w:rPr>
              <w:t>ויעד</w:t>
            </w:r>
          </w:p>
        </w:tc>
        <w:tc>
          <w:tcPr>
            <w:tcW w:w="2409" w:type="dxa"/>
            <w:tcBorders/>
          </w:tcPr>
          <w:p>
            <w:pPr>
              <w:pStyle w:val="Style11"/>
              <w:snapToGrid w:val="false"/>
              <w:ind w:end="0"/>
              <w:jc w:val="both"/>
              <w:rPr/>
            </w:pPr>
            <w:r>
              <w:rPr>
                <w:rtl w:val="true"/>
              </w:rPr>
            </w:r>
          </w:p>
        </w:tc>
      </w:tr>
      <w:tr>
        <w:trPr/>
        <w:tc>
          <w:tcPr>
            <w:tcW w:w="1362" w:type="dxa"/>
            <w:tcBorders/>
          </w:tcPr>
          <w:p>
            <w:pPr>
              <w:pStyle w:val="Style11"/>
              <w:snapToGrid w:val="false"/>
              <w:ind w:end="0"/>
              <w:jc w:val="both"/>
              <w:rPr>
                <w:szCs w:val="26"/>
              </w:rPr>
            </w:pPr>
            <w:r>
              <w:rPr>
                <w:szCs w:val="26"/>
                <w:rtl w:val="true"/>
              </w:rPr>
            </w:r>
            <w:bookmarkStart w:id="7" w:name="בא_כוח_ב"/>
            <w:bookmarkStart w:id="8" w:name="בא_כוח_ב"/>
            <w:bookmarkEnd w:id="8"/>
          </w:p>
        </w:tc>
        <w:tc>
          <w:tcPr>
            <w:tcW w:w="1757" w:type="dxa"/>
            <w:tcBorders/>
          </w:tcPr>
          <w:p>
            <w:pPr>
              <w:pStyle w:val="Style11"/>
              <w:snapToGrid w:val="false"/>
              <w:ind w:end="0"/>
              <w:jc w:val="both"/>
              <w:rPr>
                <w:szCs w:val="26"/>
              </w:rPr>
            </w:pPr>
            <w:r>
              <w:rPr>
                <w:szCs w:val="26"/>
                <w:rtl w:val="true"/>
              </w:rPr>
            </w:r>
          </w:p>
        </w:tc>
        <w:tc>
          <w:tcPr>
            <w:tcW w:w="3063" w:type="dxa"/>
            <w:tcBorders/>
          </w:tcPr>
          <w:p>
            <w:pPr>
              <w:pStyle w:val="Style11"/>
              <w:snapToGrid w:val="false"/>
              <w:ind w:end="0"/>
              <w:jc w:val="both"/>
              <w:rPr/>
            </w:pPr>
            <w:r>
              <w:rPr>
                <w:rtl w:val="true"/>
              </w:rPr>
            </w:r>
          </w:p>
        </w:tc>
        <w:tc>
          <w:tcPr>
            <w:tcW w:w="2409" w:type="dxa"/>
            <w:tcBorders/>
          </w:tcPr>
          <w:p>
            <w:pPr>
              <w:pStyle w:val="Style11"/>
              <w:ind w:end="0"/>
              <w:jc w:val="both"/>
              <w:rPr/>
            </w:pPr>
            <w:r>
              <w:rPr>
                <w:rtl w:val="true"/>
              </w:rPr>
              <w:t>ה</w:t>
            </w:r>
            <w:bookmarkStart w:id="9" w:name="כינוי_ב"/>
            <w:bookmarkEnd w:id="9"/>
            <w:r>
              <w:rPr>
                <w:rtl w:val="true"/>
              </w:rPr>
              <w:t>נאשם</w:t>
            </w:r>
          </w:p>
        </w:tc>
      </w:tr>
    </w:tbl>
    <w:p>
      <w:pPr>
        <w:pStyle w:val="Style11"/>
        <w:ind w:end="0"/>
        <w:jc w:val="both"/>
        <w:rPr/>
      </w:pPr>
      <w:r>
        <w:rPr>
          <w:rtl w:val="true"/>
        </w:rPr>
      </w:r>
    </w:p>
    <w:tbl>
      <w:tblPr>
        <w:bidiVisual w:val="true"/>
        <w:tblW w:w="8562" w:type="dxa"/>
        <w:jc w:val="start"/>
        <w:tblInd w:w="292" w:type="dxa"/>
        <w:tblLayout w:type="fixed"/>
        <w:tblCellMar>
          <w:top w:w="0" w:type="dxa"/>
          <w:start w:w="107" w:type="dxa"/>
          <w:bottom w:w="0" w:type="dxa"/>
          <w:end w:w="107" w:type="dxa"/>
        </w:tblCellMar>
      </w:tblPr>
      <w:tblGrid>
        <w:gridCol w:w="1332"/>
        <w:gridCol w:w="7230"/>
      </w:tblGrid>
      <w:tr>
        <w:trPr/>
        <w:tc>
          <w:tcPr>
            <w:tcW w:w="1332" w:type="dxa"/>
            <w:tcBorders/>
          </w:tcPr>
          <w:p>
            <w:pPr>
              <w:pStyle w:val="Style11"/>
              <w:ind w:end="0"/>
              <w:jc w:val="both"/>
              <w:rPr>
                <w:szCs w:val="26"/>
              </w:rPr>
            </w:pPr>
            <w:bookmarkStart w:id="10" w:name="FirstLawyer"/>
            <w:bookmarkEnd w:id="10"/>
            <w:r>
              <w:rPr>
                <w:szCs w:val="26"/>
                <w:rtl w:val="true"/>
              </w:rPr>
              <w:t>נוכחים</w:t>
            </w:r>
            <w:r>
              <w:rPr>
                <w:szCs w:val="26"/>
                <w:rtl w:val="true"/>
              </w:rPr>
              <w:t>:</w:t>
            </w:r>
          </w:p>
        </w:tc>
        <w:tc>
          <w:tcPr>
            <w:tcW w:w="7230" w:type="dxa"/>
            <w:tcBorders/>
          </w:tcPr>
          <w:p>
            <w:pPr>
              <w:pStyle w:val="Style11"/>
              <w:ind w:end="0"/>
              <w:jc w:val="both"/>
              <w:rPr/>
            </w:pPr>
            <w:r>
              <w:rPr>
                <w:rtl w:val="true"/>
              </w:rPr>
              <w:t>ב</w:t>
            </w:r>
            <w:r>
              <w:rPr>
                <w:rtl w:val="true"/>
              </w:rPr>
              <w:t>"</w:t>
            </w:r>
            <w:r>
              <w:rPr>
                <w:rtl w:val="true"/>
              </w:rPr>
              <w:t>כ</w:t>
            </w:r>
            <w:r>
              <w:rPr>
                <w:rFonts w:cs="Times New Roman"/>
                <w:rtl w:val="true"/>
              </w:rPr>
              <w:t xml:space="preserve"> </w:t>
            </w:r>
            <w:r>
              <w:rPr>
                <w:rtl w:val="true"/>
              </w:rPr>
              <w:t>המאשימה</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רחל</w:t>
            </w:r>
            <w:r>
              <w:rPr>
                <w:rFonts w:cs="Times New Roman"/>
                <w:rtl w:val="true"/>
              </w:rPr>
              <w:t xml:space="preserve"> </w:t>
            </w:r>
            <w:r>
              <w:rPr>
                <w:rtl w:val="true"/>
              </w:rPr>
              <w:t>אלמקייס</w:t>
            </w:r>
          </w:p>
          <w:p>
            <w:pPr>
              <w:pStyle w:val="Style11"/>
              <w:ind w:end="0"/>
              <w:jc w:val="both"/>
              <w:rPr/>
            </w:pPr>
            <w:r>
              <w:rPr>
                <w:rtl w:val="true"/>
              </w:rPr>
              <w:t>הנאשם</w:t>
            </w:r>
            <w:r>
              <w:rPr>
                <w:rFonts w:cs="Times New Roman"/>
                <w:rtl w:val="true"/>
              </w:rPr>
              <w:t xml:space="preserve"> </w:t>
            </w:r>
            <w:r>
              <w:rPr>
                <w:rtl w:val="true"/>
              </w:rPr>
              <w:t>ובא</w:t>
            </w:r>
            <w:r>
              <w:rPr>
                <w:rFonts w:cs="Times New Roman"/>
                <w:rtl w:val="true"/>
              </w:rPr>
              <w:t xml:space="preserve"> </w:t>
            </w:r>
            <w:r>
              <w:rPr>
                <w:rtl w:val="true"/>
              </w:rPr>
              <w:t>כוחו</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ערן</w:t>
            </w:r>
            <w:r>
              <w:rPr>
                <w:rFonts w:cs="Times New Roman"/>
                <w:rtl w:val="true"/>
              </w:rPr>
              <w:t xml:space="preserve"> </w:t>
            </w:r>
            <w:r>
              <w:rPr>
                <w:rtl w:val="true"/>
              </w:rPr>
              <w:t>אביטל</w:t>
            </w:r>
          </w:p>
        </w:tc>
      </w:tr>
    </w:tbl>
    <w:p>
      <w:pPr>
        <w:pStyle w:val="Normal"/>
        <w:ind w:end="0"/>
        <w:jc w:val="both"/>
        <w:rPr/>
      </w:pPr>
      <w:r>
        <w:rPr>
          <w:rtl w:val="true"/>
        </w:rPr>
      </w:r>
      <w:bookmarkStart w:id="11" w:name="LawTable"/>
      <w:bookmarkStart w:id="12" w:name="צד_ג"/>
      <w:bookmarkStart w:id="13" w:name="LawTable"/>
      <w:bookmarkStart w:id="14" w:name="צד_ג"/>
      <w:bookmarkEnd w:id="13"/>
      <w:bookmarkEnd w:id="14"/>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144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499</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spacing w:lineRule="exact" w:line="240" w:before="0" w:after="120"/>
        <w:ind w:hanging="283" w:start="283" w:end="0"/>
        <w:jc w:val="both"/>
        <w:rPr>
          <w:rFonts w:ascii="FrankRuehl" w:hAnsi="FrankRuehl" w:cs="FrankRuehl"/>
          <w:sz w:val="24"/>
        </w:rPr>
      </w:pPr>
      <w:hyperlink r:id="rId7">
        <w:r>
          <w:rPr>
            <w:rStyle w:val="Hyperlink"/>
            <w:rFonts w:ascii="FrankRuehl" w:hAnsi="FrankRuehl" w:cs="FrankRuehl"/>
            <w:color w:val="0000FF"/>
            <w:sz w:val="24"/>
            <w:sz w:val="24"/>
            <w:u w:val="single"/>
            <w:rtl w:val="true"/>
          </w:rPr>
          <w:t xml:space="preserve">פקודת התעבורה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חדש</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8">
        <w:r>
          <w:rPr>
            <w:rStyle w:val="Hyperlink"/>
            <w:rFonts w:cs="FrankRuehl" w:ascii="FrankRuehl" w:hAnsi="FrankRuehl"/>
            <w:color w:val="0000FF"/>
            <w:sz w:val="24"/>
            <w:u w:val="single"/>
          </w:rPr>
          <w:t>43</w:t>
        </w:r>
      </w:hyperlink>
    </w:p>
    <w:p>
      <w:pPr>
        <w:pStyle w:val="Normal"/>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ind w:end="0"/>
        <w:jc w:val="both"/>
        <w:rPr>
          <w:rFonts w:ascii="FrankRuehl" w:hAnsi="FrankRuehl" w:cs="FrankRuehl"/>
          <w:sz w:val="24"/>
        </w:rPr>
      </w:pPr>
      <w:r>
        <w:rPr>
          <w:rFonts w:cs="FrankRuehl" w:ascii="FrankRuehl" w:hAnsi="FrankRuehl"/>
          <w:sz w:val="24"/>
          <w:rtl w:val="true"/>
        </w:rPr>
      </w:r>
      <w:bookmarkStart w:id="15" w:name="LawTable_End"/>
      <w:bookmarkStart w:id="16" w:name="LawTable_End"/>
      <w:bookmarkEnd w:id="16"/>
    </w:p>
    <w:p>
      <w:pPr>
        <w:pStyle w:val="Normal"/>
        <w:ind w:end="0"/>
        <w:jc w:val="both"/>
        <w:rPr>
          <w:b/>
          <w:bCs/>
        </w:rPr>
      </w:pPr>
      <w:r>
        <w:rPr>
          <w:b/>
          <w:bCs/>
          <w:rtl w:val="true"/>
        </w:rPr>
      </w:r>
    </w:p>
    <w:p>
      <w:pPr>
        <w:pStyle w:val="Normal"/>
        <w:ind w:end="0"/>
        <w:jc w:val="both"/>
        <w:rPr>
          <w:b/>
          <w:bCs/>
        </w:rPr>
      </w:pPr>
      <w:r>
        <w:rPr>
          <w:b/>
          <w:bCs/>
          <w:rtl w:val="true"/>
        </w:rPr>
      </w:r>
    </w:p>
    <w:p>
      <w:pPr>
        <w:pStyle w:val="Heading1"/>
        <w:ind w:end="0"/>
        <w:jc w:val="center"/>
        <w:rPr>
          <w:b w:val="false"/>
          <w:bCs w:val="false"/>
          <w:u w:val="none"/>
        </w:rPr>
      </w:pPr>
      <w:r>
        <w:rPr>
          <w:b w:val="false"/>
          <w:bCs w:val="false"/>
          <w:u w:val="none"/>
          <w:rtl w:val="true"/>
        </w:rPr>
      </w:r>
      <w:bookmarkStart w:id="17" w:name="צד_ג"/>
      <w:bookmarkStart w:id="18" w:name="סוג_מסמך"/>
      <w:bookmarkStart w:id="19" w:name="צד_ג"/>
      <w:bookmarkStart w:id="20" w:name="סוג_מסמך"/>
      <w:bookmarkEnd w:id="19"/>
      <w:bookmarkEnd w:id="20"/>
    </w:p>
    <w:p>
      <w:pPr>
        <w:pStyle w:val="Heading1"/>
        <w:ind w:end="0"/>
        <w:jc w:val="center"/>
        <w:rPr>
          <w:b w:val="false"/>
          <w:bCs w:val="false"/>
          <w:u w:val="none"/>
        </w:rPr>
      </w:pPr>
      <w:r>
        <w:rPr>
          <w:b w:val="false"/>
          <w:bCs w:val="false"/>
          <w:u w:val="none"/>
          <w:rtl w:val="true"/>
        </w:rPr>
      </w:r>
    </w:p>
    <w:p>
      <w:pPr>
        <w:pStyle w:val="Heading1"/>
        <w:ind w:end="0"/>
        <w:jc w:val="center"/>
        <w:rPr>
          <w:u w:val="none"/>
        </w:rPr>
      </w:pPr>
      <w:r>
        <w:rPr>
          <w:u w:val="none"/>
          <w:rtl w:val="true"/>
        </w:rPr>
      </w:r>
    </w:p>
    <w:p>
      <w:pPr>
        <w:pStyle w:val="Normal"/>
        <w:ind w:end="0"/>
        <w:jc w:val="center"/>
        <w:rPr>
          <w:b/>
          <w:bCs/>
          <w:sz w:val="32"/>
          <w:szCs w:val="32"/>
          <w:u w:val="single"/>
        </w:rPr>
      </w:pPr>
      <w:bookmarkStart w:id="21" w:name="LastJudge"/>
      <w:bookmarkStart w:id="22" w:name="PsakDin"/>
      <w:bookmarkEnd w:id="21"/>
      <w:bookmarkEnd w:id="22"/>
      <w:r>
        <w:rPr>
          <w:b/>
          <w:b/>
          <w:bCs/>
          <w:sz w:val="32"/>
          <w:sz w:val="32"/>
          <w:szCs w:val="32"/>
          <w:u w:val="single"/>
          <w:rtl w:val="true"/>
        </w:rPr>
        <w:t>גזר</w:t>
      </w:r>
      <w:r>
        <w:rPr>
          <w:rFonts w:cs="Times New Roman"/>
          <w:b/>
          <w:b/>
          <w:bCs/>
          <w:sz w:val="32"/>
          <w:sz w:val="32"/>
          <w:szCs w:val="32"/>
          <w:u w:val="single"/>
          <w:rtl w:val="true"/>
        </w:rPr>
        <w:t xml:space="preserve"> </w:t>
      </w:r>
      <w:r>
        <w:rPr>
          <w:b/>
          <w:b/>
          <w:bCs/>
          <w:sz w:val="32"/>
          <w:sz w:val="32"/>
          <w:szCs w:val="32"/>
          <w:u w:val="single"/>
          <w:rtl w:val="true"/>
        </w:rPr>
        <w:t>דין</w:t>
      </w:r>
    </w:p>
    <w:p>
      <w:pPr>
        <w:pStyle w:val="Normal"/>
        <w:ind w:end="0"/>
        <w:jc w:val="both"/>
        <w:rPr>
          <w:b/>
          <w:bCs/>
          <w:sz w:val="32"/>
          <w:szCs w:val="32"/>
          <w:u w:val="single"/>
        </w:rPr>
      </w:pPr>
      <w:r>
        <w:rPr>
          <w:b/>
          <w:bCs/>
          <w:sz w:val="32"/>
          <w:szCs w:val="32"/>
          <w:u w:val="single"/>
          <w:rtl w:val="true"/>
        </w:rPr>
      </w:r>
      <w:bookmarkStart w:id="23" w:name="PsakDin"/>
      <w:bookmarkStart w:id="24" w:name="PsakDin"/>
      <w:bookmarkEnd w:id="24"/>
    </w:p>
    <w:p>
      <w:pPr>
        <w:pStyle w:val="Normal"/>
        <w:numPr>
          <w:ilvl w:val="0"/>
          <w:numId w:val="4"/>
        </w:numPr>
        <w:ind w:hanging="360" w:start="720" w:end="0"/>
        <w:jc w:val="both"/>
        <w:rPr>
          <w:rFonts w:ascii="Arial" w:hAnsi="Arial" w:cs="Arial"/>
        </w:rPr>
      </w:pPr>
      <w:bookmarkStart w:id="25" w:name="ABSTRACT_START"/>
      <w:bookmarkEnd w:id="25"/>
      <w:r>
        <w:rPr>
          <w:rFonts w:ascii="Arial" w:hAnsi="Arial" w:cs="Arial"/>
          <w:rtl w:val="true"/>
        </w:rPr>
        <w:t xml:space="preserve">הנאשם הורשע על פי הודאתו בכתב האישום המתוקן בשתי עבירות  של קשירת קשר לביצוע פשע לפי </w:t>
      </w:r>
      <w:hyperlink r:id="rId9">
        <w:r>
          <w:rPr>
            <w:rStyle w:val="Hyperlink"/>
            <w:rFonts w:ascii="Arial" w:hAnsi="Arial" w:cs="Arial"/>
            <w:color w:val="0000FF"/>
            <w:u w:val="single"/>
            <w:rtl w:val="true"/>
          </w:rPr>
          <w:t xml:space="preserve">סעיף </w:t>
        </w:r>
        <w:r>
          <w:rPr>
            <w:rStyle w:val="Hyperlink"/>
            <w:rFonts w:cs="Arial" w:ascii="Arial" w:hAnsi="Arial"/>
            <w:color w:val="0000FF"/>
            <w:u w:val="single"/>
          </w:rPr>
          <w:t>499</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0">
        <w:r>
          <w:rPr>
            <w:rStyle w:val="Hyperlink"/>
            <w:rFonts w:ascii="Arial" w:hAnsi="Arial" w:cs="Arial"/>
            <w:rtl w:val="true"/>
          </w:rPr>
          <w:t>חוק העונשין</w:t>
        </w:r>
      </w:hyperlink>
      <w:r>
        <w:rPr>
          <w:rFonts w:ascii="Arial" w:hAnsi="Arial" w:cs="Arial"/>
          <w:rtl w:val="true"/>
        </w:rPr>
        <w:t xml:space="preserve"> 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ascii="Arial" w:hAnsi="Arial" w:cs="Arial"/>
          <w:rtl w:val="true"/>
        </w:rPr>
        <w:t xml:space="preserve">בעבירה של רכישת נשק לפי </w:t>
      </w:r>
      <w:hyperlink r:id="rId11">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בעבירה של הובלת נשק לפי </w:t>
      </w:r>
      <w:hyperlink r:id="rId12">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 לחוק העונשין</w:t>
      </w:r>
      <w:r>
        <w:rPr>
          <w:rFonts w:cs="Arial" w:ascii="Arial" w:hAnsi="Arial"/>
          <w:rtl w:val="true"/>
        </w:rPr>
        <w:t xml:space="preserve">, </w:t>
      </w:r>
      <w:r>
        <w:rPr>
          <w:rFonts w:ascii="Arial" w:hAnsi="Arial" w:cs="Arial"/>
          <w:rtl w:val="true"/>
        </w:rPr>
        <w:t xml:space="preserve">בעבירה של החזקת נשק לפי סעיף </w:t>
      </w:r>
      <w:hyperlink r:id="rId13">
        <w:r>
          <w:rPr>
            <w:rStyle w:val="Hyperlink"/>
            <w:rFonts w:cs="Arial" w:ascii="Arial" w:hAnsi="Arial"/>
            <w:color w:val="0000FF"/>
            <w:u w:val="single"/>
          </w:rPr>
          <w:t>144</w:t>
        </w:r>
        <w:r>
          <w:rPr>
            <w:rStyle w:val="Hyperlink"/>
            <w:rFonts w:cs="Arial" w:ascii="Arial" w:hAnsi="Arial"/>
            <w:color w:val="0000FF"/>
            <w:u w:val="single"/>
            <w:rtl w:val="true"/>
          </w:rPr>
          <w:t xml:space="preserve"> (</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רישא לחוק העונשין</w:t>
      </w:r>
      <w:r>
        <w:rPr>
          <w:rFonts w:cs="Arial" w:ascii="Arial" w:hAnsi="Arial"/>
          <w:rtl w:val="true"/>
        </w:rPr>
        <w:t xml:space="preserve">, </w:t>
      </w:r>
      <w:r>
        <w:rPr>
          <w:rFonts w:ascii="Arial" w:hAnsi="Arial" w:cs="Arial"/>
          <w:rtl w:val="true"/>
        </w:rPr>
        <w:t xml:space="preserve">בעבירה של הסתייעות ברכב לביצוע פשע לפי </w:t>
      </w:r>
      <w:hyperlink r:id="rId14">
        <w:r>
          <w:rPr>
            <w:rStyle w:val="Hyperlink"/>
            <w:rFonts w:ascii="Arial" w:hAnsi="Arial" w:cs="Arial"/>
            <w:color w:val="0000FF"/>
            <w:u w:val="single"/>
            <w:rtl w:val="true"/>
          </w:rPr>
          <w:t xml:space="preserve">סעיף </w:t>
        </w:r>
        <w:r>
          <w:rPr>
            <w:rStyle w:val="Hyperlink"/>
            <w:rFonts w:cs="Arial" w:ascii="Arial" w:hAnsi="Arial"/>
            <w:color w:val="0000FF"/>
            <w:u w:val="single"/>
          </w:rPr>
          <w:t>43</w:t>
        </w:r>
      </w:hyperlink>
      <w:r>
        <w:rPr>
          <w:rFonts w:cs="Arial" w:ascii="Arial" w:hAnsi="Arial"/>
          <w:rtl w:val="true"/>
        </w:rPr>
        <w:t xml:space="preserve"> </w:t>
      </w:r>
      <w:r>
        <w:rPr>
          <w:rFonts w:ascii="Arial" w:hAnsi="Arial" w:cs="Arial"/>
          <w:rtl w:val="true"/>
        </w:rPr>
        <w:t>ל</w:t>
      </w:r>
      <w:hyperlink r:id="rId15">
        <w:r>
          <w:rPr>
            <w:rStyle w:val="Hyperlink"/>
            <w:rFonts w:ascii="Arial" w:hAnsi="Arial" w:cs="Arial"/>
            <w:rtl w:val="true"/>
          </w:rPr>
          <w:t>פקודת התעבורה</w:t>
        </w:r>
      </w:hyperlink>
      <w:r>
        <w:rPr>
          <w:rFonts w:ascii="Arial" w:hAnsi="Arial" w:cs="Arial"/>
          <w:rtl w:val="true"/>
        </w:rPr>
        <w:t xml:space="preserve"> התשכ</w:t>
      </w:r>
      <w:r>
        <w:rPr>
          <w:rFonts w:cs="Arial" w:ascii="Arial" w:hAnsi="Arial"/>
          <w:rtl w:val="true"/>
        </w:rPr>
        <w:t>"</w:t>
      </w:r>
      <w:r>
        <w:rPr>
          <w:rFonts w:ascii="Arial" w:hAnsi="Arial" w:cs="Arial"/>
          <w:rtl w:val="true"/>
        </w:rPr>
        <w:t xml:space="preserve">א – </w:t>
      </w:r>
      <w:r>
        <w:rPr>
          <w:rFonts w:cs="Arial" w:ascii="Arial" w:hAnsi="Arial"/>
        </w:rPr>
        <w:t>1961</w:t>
      </w:r>
      <w:r>
        <w:rPr>
          <w:rFonts w:cs="Arial" w:ascii="Arial" w:hAnsi="Arial"/>
          <w:rtl w:val="true"/>
        </w:rPr>
        <w:t xml:space="preserve"> </w:t>
      </w:r>
      <w:r>
        <w:rPr>
          <w:rFonts w:ascii="Arial" w:hAnsi="Arial" w:cs="Arial"/>
          <w:rtl w:val="true"/>
        </w:rPr>
        <w:t xml:space="preserve">ובשתי עבירות  של סחר בנשק לפי </w:t>
      </w:r>
      <w:hyperlink r:id="rId16">
        <w:r>
          <w:rPr>
            <w:rStyle w:val="Hyperlink"/>
            <w:rFonts w:ascii="Arial" w:hAnsi="Arial" w:cs="Arial"/>
            <w:color w:val="0000FF"/>
            <w:u w:val="single"/>
            <w:rtl w:val="true"/>
          </w:rPr>
          <w:t xml:space="preserve">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Pr>
          <w:t>2</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bookmarkStart w:id="26" w:name="ABSTRACT_END"/>
      <w:bookmarkEnd w:id="26"/>
    </w:p>
    <w:p>
      <w:pPr>
        <w:pStyle w:val="Normal"/>
        <w:ind w:start="360"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כתב האישום</w:t>
      </w:r>
      <w:r>
        <w:rPr>
          <w:rFonts w:cs="Arial" w:ascii="Arial" w:hAnsi="Arial"/>
          <w:rtl w:val="true"/>
        </w:rPr>
        <w:t xml:space="preserve">, </w:t>
      </w:r>
      <w:r>
        <w:rPr>
          <w:rFonts w:ascii="Arial" w:hAnsi="Arial" w:cs="Arial"/>
          <w:rtl w:val="true"/>
        </w:rPr>
        <w:t>אשר הוגש כנגד הנאשם</w:t>
      </w:r>
      <w:r>
        <w:rPr>
          <w:rFonts w:cs="Arial" w:ascii="Arial" w:hAnsi="Arial"/>
          <w:rtl w:val="true"/>
        </w:rPr>
        <w:t xml:space="preserve">, </w:t>
      </w:r>
      <w:r>
        <w:rPr>
          <w:rFonts w:ascii="Arial" w:hAnsi="Arial" w:cs="Arial"/>
          <w:rtl w:val="true"/>
        </w:rPr>
        <w:t>הכיל חמישה אישומים ובו עבירות נשק</w:t>
      </w:r>
      <w:r>
        <w:rPr>
          <w:rFonts w:cs="Arial" w:ascii="Arial" w:hAnsi="Arial"/>
          <w:rtl w:val="true"/>
        </w:rPr>
        <w:t xml:space="preserve">. </w:t>
      </w:r>
      <w:r>
        <w:rPr>
          <w:rFonts w:ascii="Arial" w:hAnsi="Arial" w:cs="Arial"/>
          <w:rtl w:val="true"/>
        </w:rPr>
        <w:t>הצדדים הציגו בפני הסדר לפיו תוקן כתב האישום באופן בו נמחק האישום החמישי ומהאישום הראשון נמחקו העבירות של הובלת נשק</w:t>
      </w:r>
      <w:r>
        <w:rPr>
          <w:rFonts w:cs="Arial" w:ascii="Arial" w:hAnsi="Arial"/>
          <w:rtl w:val="true"/>
        </w:rPr>
        <w:t xml:space="preserve">, </w:t>
      </w:r>
      <w:r>
        <w:rPr>
          <w:rFonts w:ascii="Arial" w:hAnsi="Arial" w:cs="Arial"/>
          <w:rtl w:val="true"/>
        </w:rPr>
        <w:t>החזקת תחמושת ורכישת תחמושת</w:t>
      </w:r>
      <w:r>
        <w:rPr>
          <w:rFonts w:cs="Arial" w:ascii="Arial" w:hAnsi="Arial"/>
          <w:rtl w:val="true"/>
        </w:rPr>
        <w:t xml:space="preserve">. </w:t>
      </w:r>
      <w:r>
        <w:rPr>
          <w:rFonts w:ascii="Arial" w:hAnsi="Arial" w:cs="Arial"/>
          <w:rtl w:val="true"/>
        </w:rPr>
        <w:t>הנאשם הודה באישום הראשון לאחר שתוקן וכן באישום השני וכפר באישום השלישי והרביעי</w:t>
      </w:r>
      <w:r>
        <w:rPr>
          <w:rFonts w:cs="Arial" w:ascii="Arial" w:hAnsi="Arial"/>
          <w:rtl w:val="true"/>
        </w:rPr>
        <w:t xml:space="preserve">. </w:t>
      </w:r>
      <w:r>
        <w:rPr>
          <w:rFonts w:ascii="Arial" w:hAnsi="Arial" w:cs="Arial"/>
          <w:rtl w:val="true"/>
        </w:rPr>
        <w:t>במסגרת ההסדר הודיעה המאשימה כי לא תבקש להוכיח את האישומים בהם כפר הנאשם</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האישום הראשון המתוקן</w:t>
      </w:r>
      <w:r>
        <w:rPr>
          <w:rFonts w:cs="Arial" w:ascii="Arial" w:hAnsi="Arial"/>
          <w:rtl w:val="true"/>
        </w:rPr>
        <w:t xml:space="preserve">, </w:t>
      </w:r>
      <w:r>
        <w:rPr>
          <w:rFonts w:ascii="Arial" w:hAnsi="Arial" w:cs="Arial"/>
          <w:rtl w:val="true"/>
        </w:rPr>
        <w:t>בו הודה הנאשם</w:t>
      </w:r>
      <w:r>
        <w:rPr>
          <w:rFonts w:cs="Arial" w:ascii="Arial" w:hAnsi="Arial"/>
          <w:rtl w:val="true"/>
        </w:rPr>
        <w:t xml:space="preserve">, </w:t>
      </w:r>
      <w:r>
        <w:rPr>
          <w:rFonts w:ascii="Arial" w:hAnsi="Arial" w:cs="Arial"/>
          <w:rtl w:val="true"/>
        </w:rPr>
        <w:t>מלמד כי במועד כלשהו</w:t>
      </w:r>
      <w:r>
        <w:rPr>
          <w:rFonts w:cs="Arial" w:ascii="Arial" w:hAnsi="Arial"/>
          <w:rtl w:val="true"/>
        </w:rPr>
        <w:t xml:space="preserve">, </w:t>
      </w:r>
      <w:r>
        <w:rPr>
          <w:rFonts w:ascii="Arial" w:hAnsi="Arial" w:cs="Arial"/>
          <w:rtl w:val="true"/>
        </w:rPr>
        <w:t>שאינו ידוע במדויק ולאחר ה</w:t>
      </w:r>
      <w:r>
        <w:rPr>
          <w:rFonts w:cs="Arial" w:ascii="Arial" w:hAnsi="Arial"/>
          <w:rtl w:val="true"/>
        </w:rPr>
        <w:t xml:space="preserve">- </w:t>
      </w:r>
      <w:r>
        <w:rPr>
          <w:rFonts w:cs="Arial" w:ascii="Arial" w:hAnsi="Arial"/>
        </w:rPr>
        <w:t>26.8.04</w:t>
      </w:r>
      <w:r>
        <w:rPr>
          <w:rFonts w:cs="Arial" w:ascii="Arial" w:hAnsi="Arial"/>
          <w:rtl w:val="true"/>
        </w:rPr>
        <w:t xml:space="preserve">, </w:t>
      </w:r>
      <w:r>
        <w:rPr>
          <w:rFonts w:ascii="Arial" w:hAnsi="Arial" w:cs="Arial"/>
          <w:rtl w:val="true"/>
        </w:rPr>
        <w:t xml:space="preserve">קשר הנאשם קשר עם מוחמד סילמי טרבין תושב סיני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מוחמד</w:t>
      </w:r>
      <w:r>
        <w:rPr>
          <w:rFonts w:cs="Arial" w:ascii="Arial" w:hAnsi="Arial"/>
          <w:rtl w:val="true"/>
        </w:rPr>
        <w:t xml:space="preserve">") </w:t>
      </w:r>
      <w:r>
        <w:rPr>
          <w:rFonts w:ascii="Arial" w:hAnsi="Arial" w:cs="Arial"/>
          <w:rtl w:val="true"/>
        </w:rPr>
        <w:t>לרכוש ממנו כלי נשק – חמישה רובים מסוג קלצ</w:t>
      </w:r>
      <w:r>
        <w:rPr>
          <w:rFonts w:cs="Arial" w:ascii="Arial" w:hAnsi="Arial"/>
          <w:rtl w:val="true"/>
        </w:rPr>
        <w:t>'</w:t>
      </w:r>
      <w:r>
        <w:rPr>
          <w:rFonts w:ascii="Arial" w:hAnsi="Arial" w:cs="Arial"/>
          <w:rtl w:val="true"/>
        </w:rPr>
        <w:t>ניקוב</w:t>
      </w:r>
      <w:r>
        <w:rPr>
          <w:rFonts w:cs="Arial" w:ascii="Arial" w:hAnsi="Arial"/>
          <w:rtl w:val="true"/>
        </w:rPr>
        <w:t xml:space="preserve">. </w:t>
      </w:r>
      <w:r>
        <w:rPr>
          <w:rFonts w:ascii="Arial" w:hAnsi="Arial" w:cs="Arial"/>
          <w:rtl w:val="true"/>
        </w:rPr>
        <w:t>במסגרת הקשר התקשר מוחמד לנאשם</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ימים לאחר מכן</w:t>
      </w:r>
      <w:r>
        <w:rPr>
          <w:rFonts w:cs="Arial" w:ascii="Arial" w:hAnsi="Arial"/>
          <w:rtl w:val="true"/>
        </w:rPr>
        <w:t xml:space="preserve">, </w:t>
      </w:r>
      <w:r>
        <w:rPr>
          <w:rFonts w:ascii="Arial" w:hAnsi="Arial" w:cs="Arial"/>
          <w:rtl w:val="true"/>
        </w:rPr>
        <w:t>והודיע לו כי עליו להגיע לישוב מצפה רמון ושם ימסרו לו שני אנשים מטעמו של מוחמד את כלי הנשק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הנאשם נסע בכלי רכבו מסוג טנדר איסוזו לאזור מצפה רמון ושם נפגש עם שני אנשים אשר נשלחו מטעמו של מוחמד ממצריים ונכנסו לישראל שלא כדין</w:t>
      </w:r>
      <w:r>
        <w:rPr>
          <w:rFonts w:cs="Arial" w:ascii="Arial" w:hAnsi="Arial"/>
          <w:rtl w:val="true"/>
        </w:rPr>
        <w:t xml:space="preserve">. </w:t>
      </w:r>
      <w:r>
        <w:rPr>
          <w:rFonts w:ascii="Arial" w:hAnsi="Arial" w:cs="Arial"/>
          <w:rtl w:val="true"/>
        </w:rPr>
        <w:t>שני האנשים הללו מסרו לנאשם חמישה רובים מסוג קלצ</w:t>
      </w:r>
      <w:r>
        <w:rPr>
          <w:rFonts w:cs="Arial" w:ascii="Arial" w:hAnsi="Arial"/>
          <w:rtl w:val="true"/>
        </w:rPr>
        <w:t>'</w:t>
      </w:r>
      <w:r>
        <w:rPr>
          <w:rFonts w:ascii="Arial" w:hAnsi="Arial" w:cs="Arial"/>
          <w:rtl w:val="true"/>
        </w:rPr>
        <w:t xml:space="preserve">ניקוב ומחסניות שחלקן מלאות בתחמושת עבורם שילם הנאשם סך של </w:t>
      </w:r>
      <w:r>
        <w:rPr>
          <w:rFonts w:cs="Arial" w:ascii="Arial" w:hAnsi="Arial"/>
        </w:rPr>
        <w:t>6,000</w:t>
      </w:r>
      <w:r>
        <w:rPr>
          <w:rFonts w:cs="Arial" w:ascii="Arial" w:hAnsi="Arial"/>
          <w:rtl w:val="true"/>
        </w:rPr>
        <w:t xml:space="preserve"> </w:t>
      </w:r>
      <w:r>
        <w:rPr>
          <w:rFonts w:ascii="Arial" w:hAnsi="Arial" w:cs="Arial"/>
          <w:rtl w:val="true"/>
        </w:rPr>
        <w:t>דולר אמריקאי</w:t>
      </w:r>
      <w:r>
        <w:rPr>
          <w:rFonts w:cs="Arial" w:ascii="Arial" w:hAnsi="Arial"/>
          <w:rtl w:val="true"/>
        </w:rPr>
        <w:t xml:space="preserve">. </w:t>
      </w:r>
      <w:r>
        <w:rPr>
          <w:rFonts w:ascii="Arial" w:hAnsi="Arial" w:cs="Arial"/>
          <w:rtl w:val="true"/>
        </w:rPr>
        <w:t>הנאשם נטל את התחמושת והסיעה בכלי רכבו אל מקום בסמוך אל ביתו בערוער והסתירם במערה</w:t>
      </w:r>
      <w:r>
        <w:rPr>
          <w:rFonts w:cs="Arial" w:ascii="Arial" w:hAnsi="Arial"/>
          <w:rtl w:val="true"/>
        </w:rPr>
        <w:t xml:space="preserve">. </w:t>
      </w:r>
    </w:p>
    <w:p>
      <w:pPr>
        <w:pStyle w:val="Normal"/>
        <w:ind w:start="720" w:end="0"/>
        <w:jc w:val="both"/>
        <w:rPr>
          <w:rFonts w:ascii="Arial" w:hAnsi="Arial" w:cs="Arial"/>
        </w:rPr>
      </w:pPr>
      <w:r>
        <w:rPr>
          <w:rFonts w:ascii="Arial" w:hAnsi="Arial" w:cs="Arial"/>
          <w:rtl w:val="true"/>
        </w:rPr>
        <w:t xml:space="preserve">האישום השני מלמד כי בסמוך לאחר רכישת חמשת הרובים קשר הנאשם קשר עם סאקב אבו ערר </w:t>
      </w:r>
      <w:r>
        <w:rPr>
          <w:rFonts w:cs="Arial" w:ascii="Arial" w:hAnsi="Arial"/>
          <w:rtl w:val="true"/>
        </w:rPr>
        <w:t>(</w:t>
      </w:r>
      <w:r>
        <w:rPr>
          <w:rFonts w:ascii="Arial" w:hAnsi="Arial" w:cs="Arial"/>
          <w:rtl w:val="true"/>
        </w:rPr>
        <w:t>סאקב</w:t>
      </w:r>
      <w:r>
        <w:rPr>
          <w:rFonts w:cs="Arial" w:ascii="Arial" w:hAnsi="Arial"/>
          <w:rtl w:val="true"/>
        </w:rPr>
        <w:t xml:space="preserve">) </w:t>
      </w:r>
      <w:r>
        <w:rPr>
          <w:rFonts w:ascii="Arial" w:hAnsi="Arial" w:cs="Arial"/>
          <w:rtl w:val="true"/>
        </w:rPr>
        <w:t>למכור לו נשק</w:t>
      </w:r>
      <w:r>
        <w:rPr>
          <w:rFonts w:cs="Arial" w:ascii="Arial" w:hAnsi="Arial"/>
          <w:rtl w:val="true"/>
        </w:rPr>
        <w:t xml:space="preserve">. </w:t>
      </w:r>
      <w:r>
        <w:rPr>
          <w:rFonts w:ascii="Arial" w:hAnsi="Arial" w:cs="Arial"/>
          <w:rtl w:val="true"/>
        </w:rPr>
        <w:t xml:space="preserve">יום למחרת קבלת חמשת הרובים מכר הנאשם לסאקב ארבעה מתוך חמשת הרובים אשר היו ברשותו תמורת סך השווה   ל </w:t>
      </w:r>
      <w:r>
        <w:rPr>
          <w:rFonts w:cs="Arial" w:ascii="Arial" w:hAnsi="Arial"/>
          <w:rtl w:val="true"/>
        </w:rPr>
        <w:t xml:space="preserve">- </w:t>
      </w:r>
      <w:r>
        <w:rPr>
          <w:rFonts w:cs="Arial" w:ascii="Arial" w:hAnsi="Arial"/>
        </w:rPr>
        <w:t>1,500</w:t>
      </w:r>
      <w:r>
        <w:rPr>
          <w:rFonts w:cs="Arial" w:ascii="Arial" w:hAnsi="Arial"/>
          <w:rtl w:val="true"/>
        </w:rPr>
        <w:t xml:space="preserve"> </w:t>
      </w:r>
      <w:r>
        <w:rPr>
          <w:rFonts w:ascii="Arial" w:hAnsi="Arial" w:cs="Arial"/>
          <w:rtl w:val="true"/>
        </w:rPr>
        <w:t>דולר אמריקאי לכל רובה</w:t>
      </w:r>
      <w:r>
        <w:rPr>
          <w:rFonts w:cs="Arial" w:ascii="Arial" w:hAnsi="Arial"/>
          <w:rtl w:val="true"/>
        </w:rPr>
        <w:t xml:space="preserve">, </w:t>
      </w:r>
      <w:r>
        <w:rPr>
          <w:rFonts w:ascii="Arial" w:hAnsi="Arial" w:cs="Arial"/>
          <w:rtl w:val="true"/>
        </w:rPr>
        <w:t>כשהתשלום נעשה בחלקו בשקלים ובחלקו בדינרים</w:t>
      </w:r>
      <w:r>
        <w:rPr>
          <w:rFonts w:cs="Arial" w:ascii="Arial" w:hAnsi="Arial"/>
          <w:rtl w:val="true"/>
        </w:rPr>
        <w:t xml:space="preserve">. </w:t>
      </w:r>
      <w:r>
        <w:rPr>
          <w:rFonts w:ascii="Arial" w:hAnsi="Arial" w:cs="Arial"/>
          <w:rtl w:val="true"/>
        </w:rPr>
        <w:t>יום למחרת מכר הנאשם לריאד פחרי אבו עראר</w:t>
      </w:r>
      <w:r>
        <w:rPr>
          <w:rFonts w:cs="Arial" w:ascii="Arial" w:hAnsi="Arial"/>
          <w:rtl w:val="true"/>
        </w:rPr>
        <w:t xml:space="preserve">, </w:t>
      </w:r>
      <w:r>
        <w:rPr>
          <w:rFonts w:ascii="Arial" w:hAnsi="Arial" w:cs="Arial"/>
          <w:rtl w:val="true"/>
        </w:rPr>
        <w:t>אשר נשלח מטעם סאקב</w:t>
      </w:r>
      <w:r>
        <w:rPr>
          <w:rFonts w:cs="Arial" w:ascii="Arial" w:hAnsi="Arial"/>
          <w:rtl w:val="true"/>
        </w:rPr>
        <w:t xml:space="preserve">, </w:t>
      </w:r>
      <w:r>
        <w:rPr>
          <w:rFonts w:ascii="Arial" w:hAnsi="Arial" w:cs="Arial"/>
          <w:rtl w:val="true"/>
        </w:rPr>
        <w:t>את הרובה החמישי</w:t>
      </w:r>
      <w:r>
        <w:rPr>
          <w:rFonts w:cs="Arial" w:ascii="Arial" w:hAnsi="Arial"/>
          <w:rtl w:val="true"/>
        </w:rPr>
        <w:t xml:space="preserve">. </w:t>
      </w:r>
      <w:r>
        <w:rPr>
          <w:rFonts w:ascii="Arial" w:hAnsi="Arial" w:cs="Arial"/>
          <w:rtl w:val="true"/>
        </w:rPr>
        <w:t xml:space="preserve">בסך הכל מכר הנאשם לסאקב את כל חמשת הרובים בתמורה לסך השווה בשקלים ל </w:t>
      </w:r>
      <w:r>
        <w:rPr>
          <w:rFonts w:cs="Arial" w:ascii="Arial" w:hAnsi="Arial"/>
          <w:rtl w:val="true"/>
        </w:rPr>
        <w:t xml:space="preserve">- </w:t>
      </w:r>
      <w:r>
        <w:rPr>
          <w:rFonts w:cs="Arial" w:ascii="Arial" w:hAnsi="Arial"/>
        </w:rPr>
        <w:t>7,500</w:t>
      </w:r>
      <w:r>
        <w:rPr>
          <w:rFonts w:cs="Arial" w:ascii="Arial" w:hAnsi="Arial"/>
          <w:rtl w:val="true"/>
        </w:rPr>
        <w:t xml:space="preserve"> </w:t>
      </w:r>
      <w:r>
        <w:rPr>
          <w:rFonts w:ascii="Arial" w:hAnsi="Arial" w:cs="Arial"/>
          <w:rtl w:val="true"/>
        </w:rPr>
        <w:t>דולר אמריקאי</w:t>
      </w:r>
      <w:r>
        <w:rPr>
          <w:rFonts w:cs="Arial" w:ascii="Arial" w:hAnsi="Arial"/>
          <w:rtl w:val="true"/>
        </w:rPr>
        <w:t xml:space="preserve">, </w:t>
      </w:r>
      <w:r>
        <w:rPr>
          <w:rFonts w:ascii="Arial" w:hAnsi="Arial" w:cs="Arial"/>
          <w:rtl w:val="true"/>
        </w:rPr>
        <w:t>שלא כדין</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הדגישה התובעת את חלקו הדומיננטי של הנאשם בהברחת הנשק הנדונה וכן ציינה כי אותו מוחמד תושב מצרים נעצר אף הוא ועניינו תלוי ועומד בפני הרכב תלתא בשל ריבוי והיקף העבירות הביטחוניות המיוחסות לו</w:t>
      </w:r>
      <w:r>
        <w:rPr>
          <w:rFonts w:cs="Arial" w:ascii="Arial" w:hAnsi="Arial"/>
          <w:rtl w:val="true"/>
        </w:rPr>
        <w:t xml:space="preserve">. </w:t>
      </w:r>
      <w:r>
        <w:rPr>
          <w:rFonts w:ascii="Arial" w:hAnsi="Arial" w:cs="Arial"/>
          <w:rtl w:val="true"/>
        </w:rPr>
        <w:t>התובעת ביקשה כי בית המשפט ידחה את הסבריו של הנאשם כי ביצע את המעשים לצורכי הגנה עצמית</w:t>
      </w:r>
      <w:r>
        <w:rPr>
          <w:rFonts w:cs="Arial" w:ascii="Arial" w:hAnsi="Arial"/>
          <w:rtl w:val="true"/>
        </w:rPr>
        <w:t xml:space="preserve">, </w:t>
      </w:r>
      <w:r>
        <w:rPr>
          <w:rFonts w:ascii="Arial" w:hAnsi="Arial" w:cs="Arial"/>
          <w:rtl w:val="true"/>
        </w:rPr>
        <w:t>הן בשל כמות הנשקים הנכבדה שהחזיק ברשותו והן לנוכח העובדה כי מצא לנכון להחביא את כלי הנשק מחוץ לביתו</w:t>
      </w:r>
      <w:r>
        <w:rPr>
          <w:rFonts w:cs="Arial" w:ascii="Arial" w:hAnsi="Arial"/>
          <w:rtl w:val="true"/>
        </w:rPr>
        <w:t xml:space="preserve">, </w:t>
      </w:r>
      <w:r>
        <w:rPr>
          <w:rFonts w:ascii="Arial" w:hAnsi="Arial" w:cs="Arial"/>
          <w:rtl w:val="true"/>
        </w:rPr>
        <w:t>באופן המלמד כי לא להגנת ביתו עשה את שעשה</w:t>
      </w:r>
      <w:r>
        <w:rPr>
          <w:rFonts w:cs="Arial" w:ascii="Arial" w:hAnsi="Arial"/>
          <w:rtl w:val="true"/>
        </w:rPr>
        <w:t xml:space="preserve">. </w:t>
      </w:r>
      <w:r>
        <w:rPr>
          <w:rFonts w:ascii="Arial" w:hAnsi="Arial" w:cs="Arial"/>
          <w:rtl w:val="true"/>
        </w:rPr>
        <w:t>הוסיפה והטעימה דבריה התובעת בהדגישה את המצב הביטחוני השביר והעדין בו נמצאת כיום מדינת ישראל כששוטריה וחייליה עושים ימים כלילות למנוע כל פעילות טרור היוצאת לפגע באזרחי המדינה</w:t>
      </w:r>
      <w:r>
        <w:rPr>
          <w:rFonts w:cs="Arial" w:ascii="Arial" w:hAnsi="Arial"/>
          <w:rtl w:val="true"/>
        </w:rPr>
        <w:t xml:space="preserve">. </w:t>
      </w:r>
      <w:r>
        <w:rPr>
          <w:rFonts w:ascii="Arial" w:hAnsi="Arial" w:cs="Arial"/>
          <w:rtl w:val="true"/>
        </w:rPr>
        <w:t>לטענתה הנאשם מכר את חמשת כלי נשק כשהוא עוצם את עיניו בפני האפשרות כי כלי הנשק הנדונים ימצאו את דרכם לידיים עוינות ביטחוניות או פליליות</w:t>
      </w:r>
      <w:r>
        <w:rPr>
          <w:rFonts w:cs="Arial" w:ascii="Arial" w:hAnsi="Arial"/>
          <w:rtl w:val="true"/>
        </w:rPr>
        <w:t xml:space="preserve">. </w:t>
      </w:r>
    </w:p>
    <w:p>
      <w:pPr>
        <w:pStyle w:val="Normal"/>
        <w:ind w:start="360"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תסקיר שירות המבחן גולל בפני את נסיבותיו האישיות של הנאשם</w:t>
      </w:r>
      <w:r>
        <w:rPr>
          <w:rFonts w:cs="Arial" w:ascii="Arial" w:hAnsi="Arial"/>
          <w:rtl w:val="true"/>
        </w:rPr>
        <w:t xml:space="preserve">. </w:t>
      </w:r>
      <w:r>
        <w:rPr>
          <w:rFonts w:ascii="Arial" w:hAnsi="Arial" w:cs="Arial"/>
          <w:rtl w:val="true"/>
        </w:rPr>
        <w:t xml:space="preserve">המדובר בבחור צעיר כבן </w:t>
      </w:r>
      <w:r>
        <w:rPr>
          <w:rFonts w:cs="Arial" w:ascii="Arial" w:hAnsi="Arial"/>
        </w:rPr>
        <w:t>32</w:t>
      </w:r>
      <w:r>
        <w:rPr>
          <w:rFonts w:cs="Arial" w:ascii="Arial" w:hAnsi="Arial"/>
          <w:rtl w:val="true"/>
        </w:rPr>
        <w:t xml:space="preserve"> </w:t>
      </w:r>
      <w:r>
        <w:rPr>
          <w:rFonts w:ascii="Arial" w:hAnsi="Arial" w:cs="Arial"/>
          <w:rtl w:val="true"/>
        </w:rPr>
        <w:t>נשוי לשתי נשים ואב ל</w:t>
      </w:r>
      <w:r>
        <w:rPr>
          <w:rFonts w:cs="Arial" w:ascii="Arial" w:hAnsi="Arial"/>
          <w:rtl w:val="true"/>
        </w:rPr>
        <w:t xml:space="preserve">- </w:t>
      </w:r>
      <w:r>
        <w:rPr>
          <w:rFonts w:cs="Arial" w:ascii="Arial" w:hAnsi="Arial"/>
        </w:rPr>
        <w:t>11</w:t>
      </w:r>
      <w:r>
        <w:rPr>
          <w:rFonts w:cs="Arial" w:ascii="Arial" w:hAnsi="Arial"/>
          <w:rtl w:val="true"/>
        </w:rPr>
        <w:t xml:space="preserve"> </w:t>
      </w:r>
      <w:r>
        <w:rPr>
          <w:rFonts w:ascii="Arial" w:hAnsi="Arial" w:cs="Arial"/>
          <w:rtl w:val="true"/>
        </w:rPr>
        <w:t>ילדים</w:t>
      </w:r>
      <w:r>
        <w:rPr>
          <w:rFonts w:cs="Arial" w:ascii="Arial" w:hAnsi="Arial"/>
          <w:rtl w:val="true"/>
        </w:rPr>
        <w:t xml:space="preserve">. </w:t>
      </w:r>
      <w:r>
        <w:rPr>
          <w:rFonts w:ascii="Arial" w:hAnsi="Arial" w:cs="Arial"/>
          <w:rtl w:val="true"/>
        </w:rPr>
        <w:t>שירות המבחן ציין כי טרם מעצרו עבד כנהג משאית ופרנס את בני משפחתו</w:t>
      </w:r>
      <w:r>
        <w:rPr>
          <w:rFonts w:cs="Arial" w:ascii="Arial" w:hAnsi="Arial"/>
          <w:rtl w:val="true"/>
        </w:rPr>
        <w:t xml:space="preserve">. </w:t>
      </w:r>
      <w:r>
        <w:rPr>
          <w:rFonts w:ascii="Arial" w:hAnsi="Arial" w:cs="Arial"/>
          <w:rtl w:val="true"/>
        </w:rPr>
        <w:t>שירות המבחן התרשם כי מדובר באדם בעל יכולות וכוחות לתפקד באופן תקין הן לנוכח העובדה כי נעדר הוא הרשעות קודמות והן לנוכח העובדה כי עבד באופן מסודר ולאורך זמן</w:t>
      </w:r>
      <w:r>
        <w:rPr>
          <w:rFonts w:cs="Arial" w:ascii="Arial" w:hAnsi="Arial"/>
          <w:rtl w:val="true"/>
        </w:rPr>
        <w:t xml:space="preserve">. </w:t>
      </w:r>
      <w:r>
        <w:rPr>
          <w:rFonts w:ascii="Arial" w:hAnsi="Arial" w:cs="Arial"/>
          <w:rtl w:val="true"/>
        </w:rPr>
        <w:t>שירות המבחן ציין כי הנאשם הביע בפניו מילות חרטה אך לדעת קצין המבחן היו אלו דבריו אשר נאמרו כדי לקדם את עניינו ולהשיג הקלה בעונש וכי מעורבותו באירועים הנדונים נעשו מתוך בצע כסף</w:t>
      </w:r>
      <w:r>
        <w:rPr>
          <w:rFonts w:cs="Arial" w:ascii="Arial" w:hAnsi="Arial"/>
          <w:rtl w:val="true"/>
        </w:rPr>
        <w:t xml:space="preserve">. </w:t>
      </w:r>
    </w:p>
    <w:p>
      <w:pPr>
        <w:pStyle w:val="Normal"/>
        <w:ind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טען הסנגור להגנת מרשו וציין כי נסיבות ביצוע עבירות הנשק במקרה דנן מלמדות כי הן נעברו על רקע פלילי ולא ביטחוני</w:t>
      </w:r>
      <w:r>
        <w:rPr>
          <w:rFonts w:cs="Arial" w:ascii="Arial" w:hAnsi="Arial"/>
          <w:rtl w:val="true"/>
        </w:rPr>
        <w:t xml:space="preserve">. </w:t>
      </w:r>
      <w:r>
        <w:rPr>
          <w:rFonts w:ascii="Arial" w:hAnsi="Arial" w:cs="Arial"/>
          <w:rtl w:val="true"/>
        </w:rPr>
        <w:t>לדבריו יש לתת את הדעת לעובדה כי הנאשם מכר את כלי הנשק לאדם ישראלי ולא לתושב שטחים או גורם עוין כלשהו ובכך ביקש לאבחן את עניינו של הנאשם מכל אותם מקרים בהם מצא לנכון בית המשפט להטיל ענישה מוחשית ומרתיעה לשנים ארוכות כאשר דובר בסחר של נשק והעברתו ממצרים אל תחומי הרשות הפלסטינית</w:t>
      </w:r>
      <w:r>
        <w:rPr>
          <w:rFonts w:cs="Arial" w:ascii="Arial" w:hAnsi="Arial"/>
          <w:rtl w:val="true"/>
        </w:rPr>
        <w:t xml:space="preserve">. </w:t>
      </w:r>
      <w:r>
        <w:rPr>
          <w:rFonts w:ascii="Arial" w:hAnsi="Arial" w:cs="Arial"/>
          <w:rtl w:val="true"/>
        </w:rPr>
        <w:t>הסנגור הדגיש את נסיבותיו האישיות של הנאשם</w:t>
      </w:r>
      <w:r>
        <w:rPr>
          <w:rFonts w:cs="Arial" w:ascii="Arial" w:hAnsi="Arial"/>
          <w:rtl w:val="true"/>
        </w:rPr>
        <w:t xml:space="preserve">, </w:t>
      </w:r>
      <w:r>
        <w:rPr>
          <w:rFonts w:ascii="Arial" w:hAnsi="Arial" w:cs="Arial"/>
          <w:rtl w:val="true"/>
        </w:rPr>
        <w:t>עליהן עמד שירות המבחן</w:t>
      </w:r>
      <w:r>
        <w:rPr>
          <w:rFonts w:cs="Arial" w:ascii="Arial" w:hAnsi="Arial"/>
          <w:rtl w:val="true"/>
        </w:rPr>
        <w:t xml:space="preserve">, </w:t>
      </w:r>
      <w:r>
        <w:rPr>
          <w:rFonts w:ascii="Arial" w:hAnsi="Arial" w:cs="Arial"/>
          <w:rtl w:val="true"/>
        </w:rPr>
        <w:t>והוסיף והרחיב אודות מצב בריאותם הקשה של שלושת ילדיו הנזקקים לטיפול סיעודי ושיקומי צמוד</w:t>
      </w:r>
      <w:r>
        <w:rPr>
          <w:rFonts w:cs="Arial" w:ascii="Arial" w:hAnsi="Arial"/>
          <w:rtl w:val="true"/>
        </w:rPr>
        <w:t xml:space="preserve">, </w:t>
      </w:r>
      <w:r>
        <w:rPr>
          <w:rFonts w:ascii="Arial" w:hAnsi="Arial" w:cs="Arial"/>
          <w:rtl w:val="true"/>
        </w:rPr>
        <w:t>על כל הקושי המשתמע מכך ובפרט כאשר אב המשפחה נמצא מאחורי סורג ובריח מזה כשנה</w:t>
      </w:r>
      <w:r>
        <w:rPr>
          <w:rFonts w:cs="Arial" w:ascii="Arial" w:hAnsi="Arial"/>
          <w:rtl w:val="true"/>
        </w:rPr>
        <w:t xml:space="preserve">. </w:t>
      </w:r>
      <w:r>
        <w:rPr>
          <w:rFonts w:ascii="Arial" w:hAnsi="Arial" w:cs="Arial"/>
          <w:rtl w:val="true"/>
        </w:rPr>
        <w:t>סיכם הסנגור את דבריו בכך שביקש כי בית המשפט לא ימצה עימו את הדין לנוכח נסיבותיו האישיות</w:t>
      </w:r>
      <w:r>
        <w:rPr>
          <w:rFonts w:cs="Arial" w:ascii="Arial" w:hAnsi="Arial"/>
          <w:rtl w:val="true"/>
        </w:rPr>
        <w:t xml:space="preserve">, </w:t>
      </w:r>
      <w:r>
        <w:rPr>
          <w:rFonts w:ascii="Arial" w:hAnsi="Arial" w:cs="Arial"/>
          <w:rtl w:val="true"/>
        </w:rPr>
        <w:t>העובדה כי נעדר הוא הרשעות קודמות וכי בפועל מגלה הנאשם חרטה על מעשיו</w:t>
      </w:r>
      <w:r>
        <w:rPr>
          <w:rFonts w:cs="Arial" w:ascii="Arial" w:hAnsi="Arial"/>
          <w:rtl w:val="true"/>
        </w:rPr>
        <w:t xml:space="preserve">. </w:t>
      </w:r>
      <w:r>
        <w:rPr>
          <w:rFonts w:ascii="Arial" w:hAnsi="Arial" w:cs="Arial"/>
          <w:rtl w:val="true"/>
        </w:rPr>
        <w:t>הנאשם אף הוא הוסיף ואמר דברי חרטה</w:t>
      </w:r>
      <w:r>
        <w:rPr>
          <w:rFonts w:cs="Arial" w:ascii="Arial" w:hAnsi="Arial"/>
          <w:rtl w:val="true"/>
        </w:rPr>
        <w:t xml:space="preserve">.  </w:t>
      </w:r>
    </w:p>
    <w:p>
      <w:pPr>
        <w:pStyle w:val="Normal"/>
        <w:ind w:start="360"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העבירות בנשק נמנות על העבירות החמורות שב</w:t>
      </w:r>
      <w:hyperlink r:id="rId17">
        <w:r>
          <w:rPr>
            <w:rStyle w:val="Hyperlink"/>
            <w:rFonts w:ascii="Arial" w:hAnsi="Arial" w:cs="Arial"/>
            <w:rtl w:val="true"/>
          </w:rPr>
          <w:t>חוק העונשין</w:t>
        </w:r>
      </w:hyperlink>
      <w:r>
        <w:rPr>
          <w:rFonts w:cs="Arial" w:ascii="Arial" w:hAnsi="Arial"/>
          <w:rtl w:val="true"/>
        </w:rPr>
        <w:t xml:space="preserve">. </w:t>
      </w:r>
      <w:r>
        <w:rPr>
          <w:rFonts w:ascii="Arial" w:hAnsi="Arial" w:cs="Arial"/>
          <w:rtl w:val="true"/>
        </w:rPr>
        <w:t>מדינת ישראל ממשיכה להיאבק על קיומה מן היום הראשון של היווסדה</w:t>
      </w:r>
      <w:r>
        <w:rPr>
          <w:rFonts w:cs="Arial" w:ascii="Arial" w:hAnsi="Arial"/>
          <w:rtl w:val="true"/>
        </w:rPr>
        <w:t xml:space="preserve">. </w:t>
      </w:r>
      <w:r>
        <w:rPr>
          <w:rFonts w:ascii="Arial" w:hAnsi="Arial" w:cs="Arial"/>
          <w:rtl w:val="true"/>
        </w:rPr>
        <w:t>ברבות הימים הכירו חלק משכנותיה בקיומה של מדינת ישראל אך מנגד צמחו בתוכה ומחוצה לה ארגוני טרור אשר שמו להם ליעד לפגוע באזרחי מדינת ישראל ואף לכלותה</w:t>
      </w:r>
      <w:r>
        <w:rPr>
          <w:rFonts w:cs="Arial" w:ascii="Arial" w:hAnsi="Arial"/>
          <w:rtl w:val="true"/>
        </w:rPr>
        <w:t xml:space="preserve">. </w:t>
      </w:r>
      <w:r>
        <w:rPr>
          <w:rFonts w:ascii="Arial" w:hAnsi="Arial" w:cs="Arial"/>
          <w:rtl w:val="true"/>
        </w:rPr>
        <w:t>פעילות גורמי הטרור התעצמה בשנים האחרונות  והגם פעילות גורמי הביטחון</w:t>
      </w:r>
      <w:r>
        <w:rPr>
          <w:rFonts w:cs="Arial" w:ascii="Arial" w:hAnsi="Arial"/>
          <w:rtl w:val="true"/>
        </w:rPr>
        <w:t xml:space="preserve">, </w:t>
      </w:r>
      <w:r>
        <w:rPr>
          <w:rFonts w:ascii="Arial" w:hAnsi="Arial" w:cs="Arial"/>
          <w:rtl w:val="true"/>
        </w:rPr>
        <w:t>העמלים יומם וליל בניסיון  לחבל בהתעצמות החימוש המתרחשת בקרב הגורמים העוינים בפרט בתחומי הרשות הפלסטינית</w:t>
      </w:r>
      <w:r>
        <w:rPr>
          <w:rFonts w:cs="Arial" w:ascii="Arial" w:hAnsi="Arial"/>
          <w:rtl w:val="true"/>
        </w:rPr>
        <w:t xml:space="preserve">, </w:t>
      </w:r>
      <w:r>
        <w:rPr>
          <w:rFonts w:ascii="Arial" w:hAnsi="Arial" w:cs="Arial"/>
          <w:rtl w:val="true"/>
        </w:rPr>
        <w:t>עדים אנו לתופעה מדאיגה המדירה שינה מעיננו</w:t>
      </w:r>
      <w:r>
        <w:rPr>
          <w:rFonts w:cs="Arial" w:ascii="Arial" w:hAnsi="Arial"/>
          <w:rtl w:val="true"/>
        </w:rPr>
        <w:t xml:space="preserve">, </w:t>
      </w:r>
      <w:r>
        <w:rPr>
          <w:rFonts w:ascii="Arial" w:hAnsi="Arial" w:cs="Arial"/>
          <w:rtl w:val="true"/>
        </w:rPr>
        <w:t>בה אזרחי מדינת ישראל מנצלים את זכותם לנוע באופן חופשי בתוך תחומי מדינת ישראל</w:t>
      </w:r>
      <w:r>
        <w:rPr>
          <w:rFonts w:cs="Arial" w:ascii="Arial" w:hAnsi="Arial"/>
          <w:rtl w:val="true"/>
        </w:rPr>
        <w:t xml:space="preserve">, </w:t>
      </w:r>
      <w:r>
        <w:rPr>
          <w:rFonts w:ascii="Arial" w:hAnsi="Arial" w:cs="Arial"/>
          <w:rtl w:val="true"/>
        </w:rPr>
        <w:t>ומבריחים נשק רב מגבול מצרים לתחומי מדינת ישראל וסוחרים בו בין בממכר לאחרים בתחומי מדינת ישראל ובין בהובלתו ומכירתו לגורמים בתחומי הרשות הפלסטינית</w:t>
      </w:r>
      <w:r>
        <w:rPr>
          <w:rFonts w:cs="Arial" w:ascii="Arial" w:hAnsi="Arial"/>
          <w:rtl w:val="true"/>
        </w:rPr>
        <w:t xml:space="preserve">. </w:t>
      </w:r>
    </w:p>
    <w:p>
      <w:pPr>
        <w:pStyle w:val="Normal"/>
        <w:ind w:start="720" w:end="0"/>
        <w:jc w:val="both"/>
        <w:rPr>
          <w:rFonts w:ascii="Arial" w:hAnsi="Arial" w:cs="Arial"/>
        </w:rPr>
      </w:pPr>
      <w:r>
        <w:rPr>
          <w:rFonts w:ascii="Arial" w:hAnsi="Arial" w:cs="Arial"/>
          <w:rtl w:val="true"/>
        </w:rPr>
        <w:t>בנסיבות העניין לא הייתה כל עדות למכירת הנשק לגורמים בתחומי הרשות הפלסטינית אך נלמד מכתב האישום כי הנאשם  היה בבחינת הדמות הדומיננטית בעסקאות הנשק שביצע</w:t>
      </w:r>
      <w:r>
        <w:rPr>
          <w:rFonts w:cs="Arial" w:ascii="Arial" w:hAnsi="Arial"/>
          <w:rtl w:val="true"/>
        </w:rPr>
        <w:t xml:space="preserve">. </w:t>
      </w:r>
      <w:r>
        <w:rPr>
          <w:rFonts w:ascii="Arial" w:hAnsi="Arial" w:cs="Arial"/>
          <w:rtl w:val="true"/>
        </w:rPr>
        <w:t>הוא זה אשר יצר קשר עם אותו סוחר מצרי</w:t>
      </w:r>
      <w:r>
        <w:rPr>
          <w:rFonts w:cs="Arial" w:ascii="Arial" w:hAnsi="Arial"/>
          <w:rtl w:val="true"/>
        </w:rPr>
        <w:t xml:space="preserve">, </w:t>
      </w:r>
      <w:r>
        <w:rPr>
          <w:rFonts w:ascii="Arial" w:hAnsi="Arial" w:cs="Arial"/>
          <w:rtl w:val="true"/>
        </w:rPr>
        <w:t>הוא זה אשר נסע כדי לפגוש באותו שליח ולקחת מידיו את הנשק</w:t>
      </w:r>
      <w:r>
        <w:rPr>
          <w:rFonts w:cs="Arial" w:ascii="Arial" w:hAnsi="Arial"/>
          <w:rtl w:val="true"/>
        </w:rPr>
        <w:t xml:space="preserve">, </w:t>
      </w:r>
      <w:r>
        <w:rPr>
          <w:rFonts w:ascii="Arial" w:hAnsi="Arial" w:cs="Arial"/>
          <w:rtl w:val="true"/>
        </w:rPr>
        <w:t>הוא זה אשר הוביל את הנשק למקום מסתור ובסמוך לאחר מכן אף מכר אותו</w:t>
      </w:r>
      <w:r>
        <w:rPr>
          <w:rFonts w:cs="Arial" w:ascii="Arial" w:hAnsi="Arial"/>
          <w:rtl w:val="true"/>
        </w:rPr>
        <w:t xml:space="preserve">. </w:t>
      </w:r>
      <w:r>
        <w:rPr>
          <w:rFonts w:ascii="Arial" w:hAnsi="Arial" w:cs="Arial"/>
          <w:rtl w:val="true"/>
        </w:rPr>
        <w:t>טענתו של הנאשם כי נעדר הוא כל כוונה לפגוע בביטחון המדינה הינה בבחינת אמירת שוא מאחר וכל אזרח ישראל הסוחר בכלי נשק</w:t>
      </w:r>
      <w:r>
        <w:rPr>
          <w:rFonts w:cs="Arial" w:ascii="Arial" w:hAnsi="Arial"/>
          <w:rtl w:val="true"/>
        </w:rPr>
        <w:t xml:space="preserve">, </w:t>
      </w:r>
      <w:r>
        <w:rPr>
          <w:rFonts w:ascii="Arial" w:hAnsi="Arial" w:cs="Arial"/>
          <w:rtl w:val="true"/>
        </w:rPr>
        <w:t>באופן בלתי חוקי</w:t>
      </w:r>
      <w:r>
        <w:rPr>
          <w:rFonts w:cs="Arial" w:ascii="Arial" w:hAnsi="Arial"/>
          <w:rtl w:val="true"/>
        </w:rPr>
        <w:t xml:space="preserve">, </w:t>
      </w:r>
      <w:r>
        <w:rPr>
          <w:rFonts w:ascii="Arial" w:hAnsi="Arial" w:cs="Arial"/>
          <w:rtl w:val="true"/>
        </w:rPr>
        <w:t>חייב להיות מודע כי נשק זה עלול להתגלגל ולעשות את דרכו לגורמים עוינים הנמצאים בשכנות לנו ומשוועים לנשק המועבר אליהם בדרך לא דרך</w:t>
      </w:r>
      <w:r>
        <w:rPr>
          <w:rFonts w:cs="Arial" w:ascii="Arial" w:hAnsi="Arial"/>
          <w:rtl w:val="true"/>
        </w:rPr>
        <w:t xml:space="preserve">, </w:t>
      </w:r>
      <w:r>
        <w:rPr>
          <w:rFonts w:ascii="Arial" w:hAnsi="Arial" w:cs="Arial"/>
          <w:rtl w:val="true"/>
        </w:rPr>
        <w:t>לצערנו גם על ידי אזרחי המדינה</w:t>
      </w:r>
      <w:r>
        <w:rPr>
          <w:rFonts w:cs="Arial" w:ascii="Arial" w:hAnsi="Arial"/>
          <w:rtl w:val="true"/>
        </w:rPr>
        <w:t xml:space="preserve">. </w:t>
      </w:r>
      <w:r>
        <w:rPr>
          <w:rFonts w:ascii="Arial" w:hAnsi="Arial" w:cs="Arial"/>
          <w:rtl w:val="true"/>
        </w:rPr>
        <w:t>גם אם היה הנשק עושה דרכו לידיים פליליות היה עליו לצפות כי עלול הדבר לפגוע באזרחי המדינה</w:t>
      </w:r>
      <w:r>
        <w:rPr>
          <w:rFonts w:cs="Arial" w:ascii="Arial" w:hAnsi="Arial"/>
          <w:rtl w:val="true"/>
        </w:rPr>
        <w:t xml:space="preserve">. </w:t>
      </w:r>
      <w:r>
        <w:rPr>
          <w:rFonts w:ascii="Arial" w:hAnsi="Arial" w:cs="Arial"/>
          <w:rtl w:val="true"/>
        </w:rPr>
        <w:t>הנאשם היה אדיש לאפשרויות אלו והוא אך ביקש לקדם את ענייניו הכלכליים על גבם של אזרחי המדינה המשוועים  אך לשקט ולשלווה</w:t>
      </w:r>
      <w:r>
        <w:rPr>
          <w:rFonts w:cs="Arial" w:ascii="Arial" w:hAnsi="Arial"/>
          <w:rtl w:val="true"/>
        </w:rPr>
        <w:t xml:space="preserve">. </w:t>
      </w:r>
    </w:p>
    <w:p>
      <w:pPr>
        <w:pStyle w:val="Normal"/>
        <w:ind w:start="720" w:end="0"/>
        <w:jc w:val="both"/>
        <w:rPr>
          <w:rFonts w:ascii="Arial" w:hAnsi="Arial" w:cs="Arial"/>
        </w:rPr>
      </w:pPr>
      <w:r>
        <w:rPr>
          <w:rFonts w:ascii="Arial" w:hAnsi="Arial" w:cs="Arial"/>
          <w:rtl w:val="true"/>
        </w:rPr>
        <w:t>דברי החרטה</w:t>
      </w:r>
      <w:r>
        <w:rPr>
          <w:rFonts w:cs="Arial" w:ascii="Arial" w:hAnsi="Arial"/>
          <w:rtl w:val="true"/>
        </w:rPr>
        <w:t xml:space="preserve">, </w:t>
      </w:r>
      <w:r>
        <w:rPr>
          <w:rFonts w:ascii="Arial" w:hAnsi="Arial" w:cs="Arial"/>
          <w:rtl w:val="true"/>
        </w:rPr>
        <w:t>אותם השמיע בפני</w:t>
      </w:r>
      <w:r>
        <w:rPr>
          <w:rFonts w:cs="Arial" w:ascii="Arial" w:hAnsi="Arial"/>
          <w:rtl w:val="true"/>
        </w:rPr>
        <w:t xml:space="preserve">, </w:t>
      </w:r>
      <w:r>
        <w:rPr>
          <w:rFonts w:ascii="Arial" w:hAnsi="Arial" w:cs="Arial"/>
          <w:rtl w:val="true"/>
        </w:rPr>
        <w:t>נאמרו אך כדי לקדם את עניינו והוא הקלה בעונש</w:t>
      </w:r>
      <w:r>
        <w:rPr>
          <w:rFonts w:cs="Arial" w:ascii="Arial" w:hAnsi="Arial"/>
          <w:rtl w:val="true"/>
        </w:rPr>
        <w:t xml:space="preserve">, </w:t>
      </w:r>
      <w:r>
        <w:rPr>
          <w:rFonts w:ascii="Arial" w:hAnsi="Arial" w:cs="Arial"/>
          <w:rtl w:val="true"/>
        </w:rPr>
        <w:t>חרטה אמיתית לא שמעתי בדבריו</w:t>
      </w:r>
      <w:r>
        <w:rPr>
          <w:rFonts w:cs="Arial" w:ascii="Arial" w:hAnsi="Arial"/>
          <w:rtl w:val="true"/>
        </w:rPr>
        <w:t xml:space="preserve">. </w:t>
      </w:r>
      <w:r>
        <w:rPr>
          <w:rFonts w:ascii="Arial" w:hAnsi="Arial" w:cs="Arial"/>
          <w:rtl w:val="true"/>
        </w:rPr>
        <w:t>בנסיבות אלו סברתי כי נסיבותיו האישיות של הנאשם</w:t>
      </w:r>
      <w:r>
        <w:rPr>
          <w:rFonts w:cs="Arial" w:ascii="Arial" w:hAnsi="Arial"/>
          <w:rtl w:val="true"/>
        </w:rPr>
        <w:t xml:space="preserve">, </w:t>
      </w:r>
      <w:r>
        <w:rPr>
          <w:rFonts w:ascii="Arial" w:hAnsi="Arial" w:cs="Arial"/>
          <w:rtl w:val="true"/>
        </w:rPr>
        <w:t>אותן חזר והדגיש</w:t>
      </w:r>
      <w:r>
        <w:rPr>
          <w:rFonts w:cs="Arial" w:ascii="Arial" w:hAnsi="Arial"/>
          <w:rtl w:val="true"/>
        </w:rPr>
        <w:t xml:space="preserve">, </w:t>
      </w:r>
      <w:r>
        <w:rPr>
          <w:rFonts w:ascii="Arial" w:hAnsi="Arial" w:cs="Arial"/>
          <w:rtl w:val="true"/>
        </w:rPr>
        <w:t>נסוגות מפני האינטרס הציבורי והוא למגר את התופעה המדאיגה של הברחת נשק מגבול מצריים לתוך תחומי מדינת ישראל</w:t>
      </w:r>
      <w:r>
        <w:rPr>
          <w:rFonts w:cs="Arial" w:ascii="Arial" w:hAnsi="Arial"/>
          <w:rtl w:val="true"/>
        </w:rPr>
        <w:t xml:space="preserve">. </w:t>
      </w:r>
      <w:r>
        <w:rPr>
          <w:rFonts w:ascii="Arial" w:hAnsi="Arial" w:cs="Arial"/>
          <w:rtl w:val="true"/>
        </w:rPr>
        <w:t>כשחומרת יתר יש לייחס לנסיבות בהן מדובר באזרחי מדינת ישראל הנותנים יד לכך כשבמעשיהם אלו יוצאים הם נגד אחיהם</w:t>
      </w:r>
      <w:r>
        <w:rPr>
          <w:rFonts w:cs="Arial" w:ascii="Arial" w:hAnsi="Arial"/>
          <w:rtl w:val="true"/>
        </w:rPr>
        <w:t xml:space="preserve">, </w:t>
      </w:r>
      <w:r>
        <w:rPr>
          <w:rFonts w:ascii="Arial" w:hAnsi="Arial" w:cs="Arial"/>
          <w:rtl w:val="true"/>
        </w:rPr>
        <w:t>ילדנו</w:t>
      </w:r>
      <w:r>
        <w:rPr>
          <w:rFonts w:cs="Arial" w:ascii="Arial" w:hAnsi="Arial"/>
          <w:rtl w:val="true"/>
        </w:rPr>
        <w:t xml:space="preserve">, </w:t>
      </w:r>
      <w:r>
        <w:rPr>
          <w:rFonts w:ascii="Arial" w:hAnsi="Arial" w:cs="Arial"/>
          <w:rtl w:val="true"/>
        </w:rPr>
        <w:t>אותם חיילים הנקראים לשמור על גבולות המדינה ולהבטיח את בטחון המדינה</w:t>
      </w:r>
      <w:r>
        <w:rPr>
          <w:rFonts w:cs="Arial" w:ascii="Arial" w:hAnsi="Arial"/>
          <w:rtl w:val="true"/>
        </w:rPr>
        <w:t xml:space="preserve">. </w:t>
      </w:r>
      <w:r>
        <w:rPr>
          <w:rFonts w:ascii="Arial" w:hAnsi="Arial" w:cs="Arial"/>
          <w:rtl w:val="true"/>
        </w:rPr>
        <w:t>תרומתו הדלה של בית המשפט למיגור התופעה</w:t>
      </w:r>
      <w:r>
        <w:rPr>
          <w:rFonts w:cs="Arial" w:ascii="Arial" w:hAnsi="Arial"/>
          <w:rtl w:val="true"/>
        </w:rPr>
        <w:t xml:space="preserve">, </w:t>
      </w:r>
      <w:r>
        <w:rPr>
          <w:rFonts w:ascii="Arial" w:hAnsi="Arial" w:cs="Arial"/>
          <w:rtl w:val="true"/>
        </w:rPr>
        <w:t>או למצער צמצומה</w:t>
      </w:r>
      <w:r>
        <w:rPr>
          <w:rFonts w:cs="Arial" w:ascii="Arial" w:hAnsi="Arial"/>
          <w:rtl w:val="true"/>
        </w:rPr>
        <w:t xml:space="preserve">, </w:t>
      </w:r>
      <w:r>
        <w:rPr>
          <w:rFonts w:ascii="Arial" w:hAnsi="Arial" w:cs="Arial"/>
          <w:rtl w:val="true"/>
        </w:rPr>
        <w:t>הנה בדרך של הטלת ענישה מוחשית ומחמירה אשר תגלם בחובה את הגמול הראוי למעשים אלו וכן תבטיח את גורם ההרתעה</w:t>
      </w:r>
      <w:r>
        <w:rPr>
          <w:rFonts w:cs="Arial" w:ascii="Arial" w:hAnsi="Arial"/>
          <w:rtl w:val="true"/>
        </w:rPr>
        <w:t xml:space="preserve">. </w:t>
      </w:r>
    </w:p>
    <w:p>
      <w:pPr>
        <w:pStyle w:val="Normal"/>
        <w:ind w:start="360" w:end="0"/>
        <w:jc w:val="both"/>
        <w:rPr>
          <w:rFonts w:ascii="Arial" w:hAnsi="Arial" w:cs="Arial"/>
        </w:rPr>
      </w:pPr>
      <w:r>
        <w:rPr>
          <w:rFonts w:cs="Arial" w:ascii="Arial" w:hAnsi="Arial"/>
          <w:rtl w:val="true"/>
        </w:rPr>
      </w:r>
    </w:p>
    <w:p>
      <w:pPr>
        <w:pStyle w:val="Normal"/>
        <w:numPr>
          <w:ilvl w:val="0"/>
          <w:numId w:val="4"/>
        </w:numPr>
        <w:ind w:hanging="360" w:start="720" w:end="0"/>
        <w:jc w:val="both"/>
        <w:rPr>
          <w:rFonts w:ascii="Arial" w:hAnsi="Arial" w:cs="Arial"/>
        </w:rPr>
      </w:pPr>
      <w:r>
        <w:rPr>
          <w:rFonts w:ascii="Arial" w:hAnsi="Arial" w:cs="Arial"/>
          <w:rtl w:val="true"/>
        </w:rPr>
        <w:t>בשקלול כל השיקולים אשר  עמדו על הפרק</w:t>
      </w:r>
      <w:r>
        <w:rPr>
          <w:rFonts w:cs="Arial" w:ascii="Arial" w:hAnsi="Arial"/>
          <w:rtl w:val="true"/>
        </w:rPr>
        <w:t xml:space="preserve">, </w:t>
      </w:r>
      <w:r>
        <w:rPr>
          <w:rFonts w:ascii="Arial" w:hAnsi="Arial" w:cs="Arial"/>
          <w:rtl w:val="true"/>
        </w:rPr>
        <w:t>תוך התייחסות למדיניות הענישה הרווחת בשנים האחרונות לנוכח ריבוי תופעת עבירות בנשק בפרט במחוז הדרום</w:t>
      </w:r>
      <w:r>
        <w:rPr>
          <w:rFonts w:cs="Arial" w:ascii="Arial" w:hAnsi="Arial"/>
          <w:rtl w:val="true"/>
        </w:rPr>
        <w:t xml:space="preserve">, </w:t>
      </w:r>
      <w:r>
        <w:rPr>
          <w:rFonts w:ascii="Arial" w:hAnsi="Arial" w:cs="Arial"/>
          <w:rtl w:val="true"/>
        </w:rPr>
        <w:t>ובהתחשב בנסיבות המאפיינות את האירועים נשוא כתב האישום</w:t>
      </w:r>
      <w:r>
        <w:rPr>
          <w:rFonts w:cs="Arial" w:ascii="Arial" w:hAnsi="Arial"/>
          <w:rtl w:val="true"/>
        </w:rPr>
        <w:t xml:space="preserve">: </w:t>
      </w:r>
      <w:r>
        <w:rPr>
          <w:rFonts w:ascii="Arial" w:hAnsi="Arial" w:cs="Arial"/>
          <w:rtl w:val="true"/>
        </w:rPr>
        <w:t>כמות הנשק</w:t>
      </w:r>
      <w:r>
        <w:rPr>
          <w:rFonts w:cs="Arial" w:ascii="Arial" w:hAnsi="Arial"/>
          <w:rtl w:val="true"/>
        </w:rPr>
        <w:t xml:space="preserve">, </w:t>
      </w:r>
      <w:r>
        <w:rPr>
          <w:rFonts w:ascii="Arial" w:hAnsi="Arial" w:cs="Arial"/>
          <w:rtl w:val="true"/>
        </w:rPr>
        <w:t>מספר המקרים הבודד</w:t>
      </w:r>
      <w:r>
        <w:rPr>
          <w:rFonts w:cs="Arial" w:ascii="Arial" w:hAnsi="Arial"/>
          <w:rtl w:val="true"/>
        </w:rPr>
        <w:t xml:space="preserve">, </w:t>
      </w:r>
      <w:r>
        <w:rPr>
          <w:rFonts w:ascii="Arial" w:hAnsi="Arial" w:cs="Arial"/>
          <w:rtl w:val="true"/>
        </w:rPr>
        <w:t>הודאתו בכתב האישום לאחר שתוקן וכן העובדה כי לנאשם אין הרשעות קודמות</w:t>
      </w:r>
      <w:r>
        <w:rPr>
          <w:rFonts w:cs="Arial" w:ascii="Arial" w:hAnsi="Arial"/>
          <w:rtl w:val="true"/>
        </w:rPr>
        <w:t xml:space="preserve">, </w:t>
      </w:r>
      <w:r>
        <w:rPr>
          <w:rFonts w:ascii="Arial" w:hAnsi="Arial" w:cs="Arial"/>
          <w:rtl w:val="true"/>
        </w:rPr>
        <w:t>אינני מוצאת לנכון למצות עמו את הדין</w:t>
      </w:r>
      <w:r>
        <w:rPr>
          <w:rFonts w:cs="Arial" w:ascii="Arial" w:hAnsi="Arial"/>
          <w:rtl w:val="true"/>
        </w:rPr>
        <w:t xml:space="preserve">, </w:t>
      </w:r>
      <w:r>
        <w:rPr>
          <w:rFonts w:ascii="Arial" w:hAnsi="Arial" w:cs="Arial"/>
          <w:rtl w:val="true"/>
        </w:rPr>
        <w:t>כפי שראוי היה לעשות בנסיבות אחרות</w:t>
      </w:r>
      <w:r>
        <w:rPr>
          <w:rFonts w:cs="Arial" w:ascii="Arial" w:hAnsi="Arial"/>
          <w:rtl w:val="true"/>
        </w:rPr>
        <w:t xml:space="preserve">, </w:t>
      </w:r>
      <w:r>
        <w:rPr>
          <w:rFonts w:ascii="Arial" w:hAnsi="Arial" w:cs="Arial"/>
          <w:rtl w:val="true"/>
        </w:rPr>
        <w:t>והנני משיתה עליו את העונשים הבאים</w:t>
      </w:r>
      <w:r>
        <w:rPr>
          <w:rFonts w:cs="Arial" w:ascii="Arial" w:hAnsi="Arial"/>
          <w:rtl w:val="true"/>
        </w:rPr>
        <w:t>:</w:t>
      </w:r>
    </w:p>
    <w:p>
      <w:pPr>
        <w:pStyle w:val="Normal"/>
        <w:ind w:firstLine="360" w:start="360" w:end="0"/>
        <w:jc w:val="both"/>
        <w:rPr>
          <w:rFonts w:ascii="Arial" w:hAnsi="Arial" w:cs="Arial"/>
        </w:rPr>
      </w:pPr>
      <w:r>
        <w:rPr>
          <w:rFonts w:ascii="Arial" w:hAnsi="Arial" w:cs="Arial"/>
          <w:rtl w:val="true"/>
        </w:rPr>
        <w:t>א</w:t>
      </w:r>
      <w:r>
        <w:rPr>
          <w:rFonts w:cs="Arial" w:ascii="Arial" w:hAnsi="Arial"/>
          <w:rtl w:val="true"/>
        </w:rPr>
        <w:t>.</w:t>
        <w:tab/>
      </w:r>
      <w:r>
        <w:rPr>
          <w:rFonts w:ascii="Arial" w:hAnsi="Arial" w:cs="Arial"/>
          <w:rtl w:val="true"/>
        </w:rPr>
        <w:t xml:space="preserve">מאסר בפועל של </w:t>
      </w:r>
      <w:r>
        <w:rPr>
          <w:rFonts w:cs="Arial" w:ascii="Arial" w:hAnsi="Arial"/>
        </w:rPr>
        <w:t>8</w:t>
      </w:r>
      <w:r>
        <w:rPr>
          <w:rFonts w:cs="Arial" w:ascii="Arial" w:hAnsi="Arial"/>
          <w:rtl w:val="true"/>
        </w:rPr>
        <w:t xml:space="preserve"> </w:t>
      </w:r>
      <w:r>
        <w:rPr>
          <w:rFonts w:ascii="Arial" w:hAnsi="Arial" w:cs="Arial"/>
          <w:rtl w:val="true"/>
        </w:rPr>
        <w:t xml:space="preserve">שנים החל מיום מעצרו </w:t>
      </w:r>
      <w:r>
        <w:rPr>
          <w:rFonts w:cs="Arial" w:ascii="Arial" w:hAnsi="Arial"/>
        </w:rPr>
        <w:t>16.1.05</w:t>
      </w:r>
      <w:r>
        <w:rPr>
          <w:rFonts w:cs="Arial" w:ascii="Arial" w:hAnsi="Arial"/>
          <w:rtl w:val="true"/>
        </w:rPr>
        <w:t>.</w:t>
      </w:r>
    </w:p>
    <w:p>
      <w:pPr>
        <w:pStyle w:val="Normal"/>
        <w:ind w:firstLine="360" w:start="36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 xml:space="preserve">מאסר על תנאי של  </w:t>
      </w:r>
      <w:r>
        <w:rPr>
          <w:rFonts w:cs="Arial" w:ascii="Arial" w:hAnsi="Arial"/>
        </w:rPr>
        <w:t>24</w:t>
      </w:r>
      <w:r>
        <w:rPr>
          <w:rFonts w:cs="Arial" w:ascii="Arial" w:hAnsi="Arial"/>
          <w:rtl w:val="true"/>
        </w:rPr>
        <w:t xml:space="preserve"> </w:t>
      </w:r>
      <w:r>
        <w:rPr>
          <w:rFonts w:ascii="Arial" w:hAnsi="Arial" w:cs="Arial"/>
          <w:rtl w:val="true"/>
        </w:rPr>
        <w:t xml:space="preserve">חודשים והתנאי שהנאשם לא יעבור כל עבירת נשק </w:t>
      </w:r>
    </w:p>
    <w:p>
      <w:pPr>
        <w:pStyle w:val="Normal"/>
        <w:ind w:firstLine="360" w:start="1080" w:end="0"/>
        <w:jc w:val="both"/>
        <w:rPr>
          <w:rFonts w:ascii="Arial" w:hAnsi="Arial" w:cs="Arial"/>
        </w:rPr>
      </w:pPr>
      <w:r>
        <w:rPr>
          <w:rFonts w:ascii="Arial" w:hAnsi="Arial" w:cs="Arial"/>
          <w:rtl w:val="true"/>
        </w:rPr>
        <w:t xml:space="preserve">וזאת תוך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w:t>
      </w:r>
    </w:p>
    <w:p>
      <w:pPr>
        <w:pStyle w:val="Normal"/>
        <w:ind w:hanging="720" w:start="1440" w:end="0"/>
        <w:jc w:val="both"/>
        <w:rPr>
          <w:rFonts w:ascii="Arial" w:hAnsi="Arial" w:cs="Arial"/>
        </w:rPr>
      </w:pPr>
      <w:r>
        <w:rPr>
          <w:rFonts w:ascii="Arial" w:hAnsi="Arial" w:cs="Arial"/>
          <w:rtl w:val="true"/>
        </w:rPr>
        <w:t>ג</w:t>
      </w:r>
      <w:r>
        <w:rPr>
          <w:rFonts w:cs="Arial" w:ascii="Arial" w:hAnsi="Arial"/>
          <w:rtl w:val="true"/>
        </w:rPr>
        <w:t xml:space="preserve">. </w:t>
        <w:tab/>
      </w:r>
      <w:r>
        <w:rPr>
          <w:rFonts w:ascii="Arial" w:hAnsi="Arial" w:cs="Arial"/>
          <w:rtl w:val="true"/>
        </w:rPr>
        <w:t xml:space="preserve">הנני פוסלת את הנאשם מלקבל או להחזיק רישיון נהיגה לתקופה של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p>
    <w:p>
      <w:pPr>
        <w:pStyle w:val="Normal"/>
        <w:ind w:hanging="720" w:start="1440" w:end="0"/>
        <w:jc w:val="both"/>
        <w:rPr>
          <w:rFonts w:ascii="Arial" w:hAnsi="Arial" w:cs="Arial"/>
        </w:rPr>
      </w:pPr>
      <w:r>
        <w:rPr>
          <w:rFonts w:ascii="Arial" w:hAnsi="Arial" w:cs="Arial"/>
          <w:rtl w:val="true"/>
        </w:rPr>
        <w:t>ד</w:t>
      </w:r>
      <w:r>
        <w:rPr>
          <w:rFonts w:cs="Arial" w:ascii="Arial" w:hAnsi="Arial"/>
          <w:rtl w:val="true"/>
        </w:rPr>
        <w:t>.</w:t>
        <w:tab/>
      </w:r>
      <w:r>
        <w:rPr>
          <w:rFonts w:ascii="Arial" w:hAnsi="Arial" w:cs="Arial"/>
          <w:rtl w:val="true"/>
        </w:rPr>
        <w:t>הנני מורה על חילוט כלי רכבו של הנאשם לטובת המדינה</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rPr>
      </w:pPr>
      <w:r>
        <w:rPr>
          <w:rFonts w:cs="Arial" w:ascii="Arial" w:hAnsi="Arial"/>
          <w:rtl w:val="true"/>
        </w:rPr>
      </w:r>
    </w:p>
    <w:p>
      <w:pPr>
        <w:pStyle w:val="Normal"/>
        <w:ind w:end="0"/>
        <w:jc w:val="both"/>
        <w:rPr>
          <w:rFonts w:ascii="Arial" w:hAnsi="Arial" w:cs="Arial"/>
          <w:b/>
          <w:bCs/>
          <w:sz w:val="22"/>
        </w:rPr>
      </w:pPr>
      <w:r>
        <w:rPr>
          <w:rFonts w:ascii="Arial" w:hAnsi="Arial" w:cs="Arial"/>
          <w:b/>
          <w:b/>
          <w:bCs/>
          <w:sz w:val="22"/>
          <w:sz w:val="22"/>
          <w:rtl w:val="true"/>
        </w:rPr>
        <w:t xml:space="preserve">זכות ערעור תוך </w:t>
      </w:r>
      <w:r>
        <w:rPr>
          <w:rFonts w:cs="Arial" w:ascii="Arial" w:hAnsi="Arial"/>
          <w:b/>
          <w:bCs/>
          <w:sz w:val="22"/>
        </w:rPr>
        <w:t>45</w:t>
      </w:r>
      <w:r>
        <w:rPr>
          <w:rFonts w:cs="Arial" w:ascii="Arial" w:hAnsi="Arial"/>
          <w:b/>
          <w:bCs/>
          <w:sz w:val="22"/>
          <w:rtl w:val="true"/>
        </w:rPr>
        <w:t xml:space="preserve"> </w:t>
      </w:r>
      <w:r>
        <w:rPr>
          <w:rFonts w:ascii="Arial" w:hAnsi="Arial" w:cs="Arial"/>
          <w:b/>
          <w:b/>
          <w:bCs/>
          <w:sz w:val="22"/>
          <w:sz w:val="22"/>
          <w:rtl w:val="true"/>
        </w:rPr>
        <w:t>יום מהיום</w:t>
      </w:r>
      <w:r>
        <w:rPr>
          <w:rFonts w:cs="Arial" w:ascii="Arial" w:hAnsi="Arial"/>
          <w:b/>
          <w:bCs/>
          <w:sz w:val="22"/>
          <w:rtl w:val="true"/>
        </w:rPr>
        <w:t>.</w:t>
      </w:r>
    </w:p>
    <w:p>
      <w:pPr>
        <w:pStyle w:val="Normal"/>
        <w:ind w:start="720" w:end="0"/>
        <w:jc w:val="both"/>
        <w:rPr>
          <w:rFonts w:ascii="Arial" w:hAnsi="Arial" w:cs="Arial"/>
          <w:b/>
          <w:bCs/>
          <w:color w:val="FFFFFF"/>
          <w:sz w:val="2"/>
          <w:szCs w:val="2"/>
        </w:rPr>
      </w:pPr>
      <w:r>
        <w:rPr>
          <w:rFonts w:cs="Arial" w:ascii="Arial" w:hAnsi="Arial"/>
          <w:b/>
          <w:bCs/>
          <w:color w:val="FFFFFF"/>
          <w:sz w:val="2"/>
          <w:szCs w:val="2"/>
          <w:rtl w:val="true"/>
        </w:rPr>
      </w:r>
    </w:p>
    <w:p>
      <w:pPr>
        <w:pStyle w:val="Normal"/>
        <w:ind w:start="720" w:end="0"/>
        <w:jc w:val="both"/>
        <w:rPr>
          <w:color w:val="FFFFFF"/>
          <w:sz w:val="2"/>
          <w:szCs w:val="2"/>
        </w:rPr>
      </w:pPr>
      <w:r>
        <w:rPr>
          <w:color w:val="FFFFFF"/>
          <w:sz w:val="2"/>
          <w:szCs w:val="2"/>
        </w:rPr>
        <w:t>5129371</w:t>
      </w:r>
    </w:p>
    <w:p>
      <w:pPr>
        <w:pStyle w:val="Normal"/>
        <w:ind w:start="720" w:end="0"/>
        <w:jc w:val="both"/>
        <w:rPr/>
      </w:pPr>
      <w:r>
        <w:rPr>
          <w:color w:val="FFFFFF"/>
          <w:sz w:val="2"/>
          <w:szCs w:val="2"/>
        </w:rPr>
        <w:t>54678313</w:t>
      </w:r>
    </w:p>
    <w:p>
      <w:pPr>
        <w:pStyle w:val="Normal"/>
        <w:ind w:end="0"/>
        <w:jc w:val="both"/>
        <w:rPr/>
      </w:pPr>
      <w:r>
        <w:rPr>
          <w:rtl w:val="true"/>
        </w:rPr>
      </w:r>
      <w:bookmarkStart w:id="27" w:name="סוג_מסמך"/>
      <w:bookmarkStart w:id="28" w:name="סוג_מסמך"/>
      <w:bookmarkEnd w:id="28"/>
    </w:p>
    <w:p>
      <w:pPr>
        <w:pStyle w:val="Normal"/>
        <w:ind w:end="0"/>
        <w:jc w:val="both"/>
        <w:rPr>
          <w:b/>
          <w:bCs/>
          <w:color w:val="000000"/>
        </w:rPr>
      </w:pPr>
      <w:r>
        <w:rPr>
          <w:b/>
          <w:b/>
          <w:bCs/>
          <w:color w:val="000000"/>
          <w:rtl w:val="true"/>
        </w:rPr>
        <w:t>ניתן</w:t>
      </w:r>
      <w:r>
        <w:rPr>
          <w:rFonts w:cs="Times New Roman"/>
          <w:b/>
          <w:b/>
          <w:bCs/>
          <w:color w:val="000000"/>
          <w:rtl w:val="true"/>
        </w:rPr>
        <w:t xml:space="preserve"> </w:t>
      </w:r>
      <w:r>
        <w:rPr>
          <w:b/>
          <w:b/>
          <w:bCs/>
          <w:color w:val="000000"/>
          <w:rtl w:val="true"/>
        </w:rPr>
        <w:t>היום</w:t>
      </w:r>
      <w:r>
        <w:rPr>
          <w:rFonts w:cs="Times New Roman"/>
          <w:b/>
          <w:b/>
          <w:bCs/>
          <w:color w:val="000000"/>
          <w:rtl w:val="true"/>
        </w:rPr>
        <w:t xml:space="preserve"> </w:t>
      </w:r>
      <w:r>
        <w:rPr>
          <w:b/>
          <w:b/>
          <w:bCs/>
          <w:color w:val="000000"/>
          <w:rtl w:val="true"/>
        </w:rPr>
        <w:t>י</w:t>
      </w:r>
      <w:r>
        <w:rPr>
          <w:b/>
          <w:bCs/>
          <w:color w:val="000000"/>
          <w:rtl w:val="true"/>
        </w:rPr>
        <w:t>"</w:t>
      </w:r>
      <w:r>
        <w:rPr>
          <w:b/>
          <w:b/>
          <w:bCs/>
          <w:color w:val="000000"/>
          <w:rtl w:val="true"/>
        </w:rPr>
        <w:t>ב</w:t>
      </w:r>
      <w:r>
        <w:rPr>
          <w:rFonts w:cs="Times New Roman"/>
          <w:b/>
          <w:b/>
          <w:bCs/>
          <w:color w:val="000000"/>
          <w:rtl w:val="true"/>
        </w:rPr>
        <w:t xml:space="preserve"> </w:t>
      </w:r>
      <w:r>
        <w:rPr>
          <w:b/>
          <w:b/>
          <w:bCs/>
          <w:color w:val="000000"/>
          <w:rtl w:val="true"/>
        </w:rPr>
        <w:t>באדר</w:t>
      </w:r>
      <w:r>
        <w:rPr>
          <w:b/>
          <w:bCs/>
          <w:color w:val="000000"/>
          <w:rtl w:val="true"/>
        </w:rPr>
        <w:t xml:space="preserve">, </w:t>
      </w:r>
      <w:r>
        <w:rPr>
          <w:b/>
          <w:b/>
          <w:bCs/>
          <w:color w:val="000000"/>
          <w:rtl w:val="true"/>
        </w:rPr>
        <w:t>תשס</w:t>
      </w:r>
      <w:r>
        <w:rPr>
          <w:b/>
          <w:bCs/>
          <w:color w:val="000000"/>
          <w:rtl w:val="true"/>
        </w:rPr>
        <w:t>"</w:t>
      </w:r>
      <w:r>
        <w:rPr>
          <w:b/>
          <w:b/>
          <w:bCs/>
          <w:color w:val="000000"/>
          <w:rtl w:val="true"/>
        </w:rPr>
        <w:t>ו</w:t>
      </w:r>
      <w:r>
        <w:rPr>
          <w:rFonts w:cs="Times New Roman"/>
          <w:b/>
          <w:b/>
          <w:bCs/>
          <w:color w:val="000000"/>
          <w:rtl w:val="true"/>
        </w:rPr>
        <w:t xml:space="preserve"> </w:t>
      </w:r>
      <w:r>
        <w:rPr>
          <w:b/>
          <w:bCs/>
          <w:color w:val="000000"/>
          <w:rtl w:val="true"/>
        </w:rPr>
        <w:t>(</w:t>
      </w:r>
      <w:r>
        <w:rPr>
          <w:b/>
          <w:bCs/>
          <w:color w:val="000000"/>
        </w:rPr>
        <w:t>12</w:t>
      </w:r>
      <w:r>
        <w:rPr>
          <w:b/>
          <w:bCs/>
          <w:color w:val="000000"/>
          <w:rtl w:val="true"/>
        </w:rPr>
        <w:t xml:space="preserve"> </w:t>
      </w:r>
      <w:r>
        <w:rPr>
          <w:b/>
          <w:b/>
          <w:bCs/>
          <w:color w:val="000000"/>
          <w:rtl w:val="true"/>
        </w:rPr>
        <w:t>במרץ</w:t>
      </w:r>
      <w:r>
        <w:rPr>
          <w:rFonts w:cs="Times New Roman"/>
          <w:b/>
          <w:b/>
          <w:bCs/>
          <w:color w:val="000000"/>
          <w:rtl w:val="true"/>
        </w:rPr>
        <w:t xml:space="preserve"> </w:t>
      </w:r>
      <w:r>
        <w:rPr>
          <w:b/>
          <w:bCs/>
          <w:color w:val="000000"/>
        </w:rPr>
        <w:t>2006</w:t>
      </w:r>
      <w:r>
        <w:rPr>
          <w:b/>
          <w:bCs/>
          <w:color w:val="000000"/>
          <w:rtl w:val="true"/>
        </w:rPr>
        <w:t xml:space="preserve">) </w:t>
      </w:r>
      <w:r>
        <w:rPr>
          <w:b/>
          <w:b/>
          <w:bCs/>
          <w:color w:val="000000"/>
          <w:rtl w:val="true"/>
        </w:rPr>
        <w:t>במעמד</w:t>
      </w:r>
      <w:r>
        <w:rPr>
          <w:rFonts w:cs="Times New Roman"/>
          <w:b/>
          <w:b/>
          <w:bCs/>
          <w:color w:val="000000"/>
          <w:rtl w:val="true"/>
        </w:rPr>
        <w:t xml:space="preserve"> </w:t>
      </w:r>
      <w:r>
        <w:rPr>
          <w:b/>
          <w:b/>
          <w:bCs/>
          <w:color w:val="000000"/>
          <w:rtl w:val="true"/>
        </w:rPr>
        <w:t>הצדדים</w:t>
      </w:r>
    </w:p>
    <w:p>
      <w:pPr>
        <w:pStyle w:val="Normal"/>
        <w:keepNext w:val="true"/>
        <w:ind w:end="0"/>
        <w:jc w:val="start"/>
        <w:rPr>
          <w:rFonts w:cs="David"/>
          <w:b/>
          <w:bCs/>
          <w:color w:val="000000"/>
          <w:sz w:val="22"/>
          <w:szCs w:val="22"/>
        </w:rPr>
      </w:pPr>
      <w:r>
        <w:rPr>
          <w:rFonts w:cs="David"/>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רחל</w:t>
      </w:r>
      <w:r>
        <w:rPr>
          <w:rFonts w:cs="Times New Roman"/>
          <w:color w:val="000000"/>
          <w:sz w:val="22"/>
          <w:sz w:val="22"/>
          <w:szCs w:val="22"/>
          <w:rtl w:val="true"/>
        </w:rPr>
        <w:t xml:space="preserve"> </w:t>
      </w:r>
      <w:r>
        <w:rPr>
          <w:color w:val="000000"/>
          <w:sz w:val="22"/>
          <w:sz w:val="22"/>
          <w:szCs w:val="22"/>
          <w:rtl w:val="true"/>
        </w:rPr>
        <w:t>ברקאי</w:t>
      </w:r>
      <w:r>
        <w:rPr>
          <w:rFonts w:cs="Times New Roman"/>
          <w:color w:val="000000"/>
          <w:sz w:val="22"/>
          <w:sz w:val="22"/>
          <w:szCs w:val="22"/>
          <w:rtl w:val="true"/>
        </w:rPr>
        <w:t xml:space="preserve"> </w:t>
      </w:r>
      <w:r>
        <w:rPr>
          <w:rFonts w:cs="David"/>
          <w:color w:val="000000"/>
          <w:sz w:val="22"/>
          <w:szCs w:val="22"/>
        </w:rPr>
        <w:t>54678313-8053/05</w:t>
      </w:r>
    </w:p>
    <w:p>
      <w:pPr>
        <w:pStyle w:val="Normal"/>
        <w:ind w:end="0"/>
        <w:jc w:val="both"/>
        <w:rPr>
          <w:rFonts w:cs="David"/>
          <w:b/>
          <w:bCs/>
          <w:color w:val="000000"/>
          <w:sz w:val="22"/>
          <w:szCs w:val="22"/>
        </w:rPr>
      </w:pPr>
      <w:r>
        <w:rPr>
          <w:rFonts w:cs="David"/>
          <w:b/>
          <w:bCs/>
          <w:color w:val="000000"/>
          <w:sz w:val="22"/>
          <w:szCs w:val="22"/>
          <w:rtl w:val="true"/>
        </w:rPr>
      </w:r>
    </w:p>
    <w:tbl>
      <w:tblPr>
        <w:tblW w:w="2127" w:type="dxa"/>
        <w:jc w:val="start"/>
        <w:tblInd w:w="6294" w:type="dxa"/>
        <w:tblLayout w:type="fixed"/>
        <w:tblCellMar>
          <w:top w:w="0" w:type="dxa"/>
          <w:start w:w="108" w:type="dxa"/>
          <w:bottom w:w="0" w:type="dxa"/>
          <w:end w:w="108" w:type="dxa"/>
        </w:tblCellMar>
      </w:tblPr>
      <w:tblGrid>
        <w:gridCol w:w="2127"/>
      </w:tblGrid>
      <w:tr>
        <w:trPr/>
        <w:tc>
          <w:tcPr>
            <w:tcW w:w="2127" w:type="dxa"/>
            <w:tcBorders>
              <w:top w:val="single" w:sz="4" w:space="0" w:color="000000"/>
            </w:tcBorders>
          </w:tcPr>
          <w:p>
            <w:pPr>
              <w:pStyle w:val="Signature"/>
              <w:ind w:end="0"/>
              <w:jc w:val="center"/>
              <w:rPr/>
            </w:pPr>
            <w:r>
              <w:rPr>
                <w:rtl w:val="true"/>
              </w:rPr>
              <w:t>רחל</w:t>
            </w:r>
            <w:r>
              <w:rPr>
                <w:rFonts w:cs="Times New Roman"/>
                <w:rtl w:val="true"/>
              </w:rPr>
              <w:t xml:space="preserve"> </w:t>
            </w:r>
            <w:r>
              <w:rPr>
                <w:rtl w:val="true"/>
              </w:rPr>
              <w:t>ברקאי</w:t>
            </w:r>
            <w:r>
              <w:rPr>
                <w:rtl w:val="true"/>
              </w:rPr>
              <w:t xml:space="preserve">, </w:t>
            </w:r>
            <w:r>
              <w:rPr>
                <w:rtl w:val="true"/>
              </w:rPr>
              <w:t>שופטת</w:t>
            </w:r>
          </w:p>
        </w:tc>
      </w:tr>
    </w:tbl>
    <w:p>
      <w:pPr>
        <w:pStyle w:val="Normal"/>
        <w:ind w:end="0"/>
        <w:jc w:val="both"/>
        <w:rPr/>
      </w:pPr>
      <w:r>
        <w:rPr>
          <w:rtl w:val="true"/>
        </w:rPr>
      </w:r>
    </w:p>
    <w:p>
      <w:pPr>
        <w:pStyle w:val="Normal"/>
        <w:ind w:end="0"/>
        <w:jc w:val="start"/>
        <w:rPr>
          <w:color w:val="000000"/>
        </w:rPr>
      </w:pPr>
      <w:r>
        <w:rPr/>
        <w:t>008053/05</w:t>
      </w:r>
      <w:r>
        <w:rPr>
          <w:rtl w:val="true"/>
        </w:rPr>
        <w:t>פ</w:t>
      </w:r>
      <w:r>
        <w:rPr>
          <w:rFonts w:cs="Times New Roman"/>
          <w:rtl w:val="true"/>
        </w:rPr>
        <w:t xml:space="preserve">  </w:t>
      </w:r>
      <w:r>
        <w:rPr/>
        <w:t>055</w:t>
      </w:r>
      <w:r>
        <w:rPr>
          <w:rtl w:val="true"/>
        </w:rPr>
        <w:t xml:space="preserve"> </w:t>
      </w:r>
      <w:r>
        <w:rPr>
          <w:rtl w:val="true"/>
        </w:rPr>
        <w:t>בת</w:t>
      </w:r>
      <w:r>
        <w:rPr>
          <w:rtl w:val="true"/>
        </w:rPr>
        <w:t>-</w:t>
      </w:r>
      <w:r>
        <w:rPr>
          <w:rtl w:val="true"/>
        </w:rPr>
        <w:t>שבע</w:t>
      </w:r>
      <w:r>
        <w:rPr>
          <w:rFonts w:cs="Times New Roman"/>
          <w:rtl w:val="true"/>
        </w:rPr>
        <w:t xml:space="preserve"> </w:t>
      </w:r>
      <w:r>
        <w:rPr>
          <w:rtl w:val="true"/>
        </w:rPr>
        <w:t>אביגל</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sectPr>
      <w:headerReference w:type="default" r:id="rId18"/>
      <w:footerReference w:type="default" r:id="rId19"/>
      <w:type w:val="nextPage"/>
      <w:pgSz w:w="12240" w:h="15840"/>
      <w:pgMar w:left="1800" w:right="1800" w:gutter="0" w:header="720" w:top="1701"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cs="FrankRuehl"/>
        <w:sz w:val="24"/>
      </w:rPr>
    </w:pPr>
    <w:r>
      <w:rPr>
        <w:rFonts w:cs="FrankRuehl"/>
        <w:sz w:val="24"/>
        <w:rtl w:val="true"/>
      </w:rPr>
      <w:fldChar w:fldCharType="begin"/>
    </w:r>
    <w:r>
      <w:rPr>
        <w:rtl w:val="true"/>
        <w:sz w:val="24"/>
        <w:rFonts w:cs="FrankRuehl"/>
      </w:rPr>
      <w:instrText xml:space="preserve"> PAGE </w:instrText>
    </w:r>
    <w:r>
      <w:rPr>
        <w:rtl w:val="true"/>
        <w:sz w:val="24"/>
        <w:rFonts w:cs="FrankRuehl"/>
      </w:rPr>
      <w:fldChar w:fldCharType="separate"/>
    </w:r>
    <w:r>
      <w:rPr>
        <w:rtl w:val="true"/>
        <w:sz w:val="24"/>
        <w:rFonts w:cs="FrankRuehl"/>
      </w:rPr>
      <w:t>5</w:t>
    </w:r>
    <w:r>
      <w:rPr>
        <w:rtl w:val="true"/>
        <w:sz w:val="24"/>
        <w:rFonts w:cs="FrankRuehl"/>
      </w:rPr>
      <w:fldChar w:fldCharType="end"/>
    </w:r>
  </w:p>
  <w:p>
    <w:pPr>
      <w:pStyle w:val="Footer"/>
      <w:pBdr>
        <w:top w:val="single" w:sz="4" w:space="1" w:color="000000"/>
      </w:pBdr>
      <w:spacing w:lineRule="auto" w:line="240" w:before="0" w:after="60"/>
      <w:ind w:end="0"/>
      <w:jc w:val="center"/>
      <w:rPr/>
    </w:pPr>
    <w:r>
      <w:rPr>
        <w:rFonts w:cs="TopType Jerushalmi"/>
        <w:color w:val="000000"/>
        <w:sz w:val="28"/>
        <w:sz w:val="28"/>
        <w:szCs w:val="22"/>
        <w:rtl w:val="true"/>
      </w:rPr>
      <w:t>נבו</w:t>
    </w:r>
    <w:r>
      <w:rPr>
        <w:rFonts w:cs="Times New Roman"/>
        <w:color w:val="000000"/>
        <w:sz w:val="28"/>
        <w:sz w:val="28"/>
        <w:szCs w:val="22"/>
        <w:rtl w:val="true"/>
      </w:rPr>
      <w:t xml:space="preserve"> </w:t>
    </w:r>
    <w:r>
      <w:rPr>
        <w:rFonts w:cs="TopType Jerushalmi"/>
        <w:color w:val="000000"/>
        <w:sz w:val="28"/>
        <w:sz w:val="28"/>
        <w:szCs w:val="22"/>
        <w:rtl w:val="true"/>
      </w:rPr>
      <w:t>הוצאה</w:t>
    </w:r>
    <w:r>
      <w:rPr>
        <w:rFonts w:cs="Times New Roman"/>
        <w:color w:val="000000"/>
        <w:sz w:val="28"/>
        <w:sz w:val="28"/>
        <w:szCs w:val="22"/>
        <w:rtl w:val="true"/>
      </w:rPr>
      <w:t xml:space="preserve"> </w:t>
    </w:r>
    <w:r>
      <w:rPr>
        <w:rFonts w:cs="TopType Jerushalmi"/>
        <w:color w:val="000000"/>
        <w:sz w:val="28"/>
        <w:sz w:val="28"/>
        <w:szCs w:val="22"/>
        <w:rtl w:val="true"/>
      </w:rPr>
      <w:t>לאור</w:t>
    </w:r>
    <w:r>
      <w:rPr>
        <w:rFonts w:cs="Times New Roman"/>
        <w:color w:val="000000"/>
        <w:sz w:val="28"/>
        <w:sz w:val="28"/>
        <w:szCs w:val="22"/>
        <w:rtl w:val="true"/>
      </w:rPr>
      <w:t xml:space="preserve"> </w:t>
    </w:r>
    <w:r>
      <w:rPr>
        <w:rFonts w:cs="TopType Jerushalmi"/>
        <w:color w:val="000000"/>
        <w:sz w:val="28"/>
        <w:sz w:val="28"/>
        <w:szCs w:val="22"/>
        <w:rtl w:val="true"/>
      </w:rPr>
      <w:t>בע</w:t>
    </w:r>
    <w:r>
      <w:rPr>
        <w:rFonts w:cs="TopType Jerushalmi"/>
        <w:color w:val="000000"/>
        <w:sz w:val="28"/>
        <w:szCs w:val="22"/>
        <w:rtl w:val="true"/>
      </w:rPr>
      <w:t>"</w:t>
    </w:r>
    <w:r>
      <w:rPr>
        <w:rFonts w:cs="TopType Jerushalmi"/>
        <w:color w:val="000000"/>
        <w:sz w:val="28"/>
        <w:sz w:val="28"/>
        <w:szCs w:val="22"/>
        <w:rtl w:val="true"/>
      </w:rPr>
      <w:t>מ</w:t>
    </w:r>
    <w:r>
      <w:rPr>
        <w:rFonts w:cs="Times New Roman"/>
        <w:color w:val="000000"/>
        <w:sz w:val="28"/>
        <w:sz w:val="28"/>
        <w:szCs w:val="22"/>
        <w:rtl w:val="true"/>
      </w:rPr>
      <w:t xml:space="preserve">  </w:t>
    </w:r>
    <w:r>
      <w:rPr>
        <w:rFonts w:cs="TopType Jerushalmi"/>
        <w:color w:val="000000"/>
        <w:sz w:val="28"/>
        <w:szCs w:val="22"/>
      </w:rPr>
      <w:t>nevo.co.il</w:t>
    </w:r>
    <w:r>
      <w:rPr>
        <w:rFonts w:cs="TopType Jerushalmi"/>
        <w:color w:val="000000"/>
        <w:sz w:val="28"/>
        <w:szCs w:val="22"/>
        <w:rtl w:val="true"/>
      </w:rPr>
      <w:t xml:space="preserve">   </w:t>
    </w:r>
    <w:r>
      <w:rPr>
        <w:rFonts w:cs="TopType Jerushalmi"/>
        <w:color w:val="000000"/>
        <w:sz w:val="28"/>
        <w:sz w:val="28"/>
        <w:szCs w:val="22"/>
        <w:rtl w:val="true"/>
      </w:rPr>
      <w:t>המאגר</w:t>
    </w:r>
    <w:r>
      <w:rPr>
        <w:rFonts w:cs="Times New Roman"/>
        <w:color w:val="000000"/>
        <w:sz w:val="28"/>
        <w:sz w:val="28"/>
        <w:szCs w:val="22"/>
        <w:rtl w:val="true"/>
      </w:rPr>
      <w:t xml:space="preserve"> </w:t>
    </w:r>
    <w:r>
      <w:rPr>
        <w:rFonts w:cs="TopType Jerushalmi"/>
        <w:color w:val="000000"/>
        <w:sz w:val="28"/>
        <w:sz w:val="28"/>
        <w:szCs w:val="22"/>
        <w:rtl w:val="true"/>
      </w:rPr>
      <w:t>המשפטי</w:t>
    </w:r>
    <w:r>
      <w:rPr>
        <w:rFonts w:cs="Times New Roman"/>
        <w:color w:val="000000"/>
        <w:sz w:val="28"/>
        <w:sz w:val="28"/>
        <w:szCs w:val="22"/>
        <w:rtl w:val="true"/>
      </w:rPr>
      <w:t xml:space="preserve"> </w:t>
    </w:r>
    <w:r>
      <w:rPr>
        <w:rFonts w:cs="TopType Jerushalmi"/>
        <w:color w:val="000000"/>
        <w:sz w:val="28"/>
        <w:sz w:val="28"/>
        <w:szCs w:val="22"/>
        <w:rtl w:val="true"/>
      </w:rPr>
      <w:t>הישראלי</w:t>
    </w:r>
  </w:p>
  <w:p>
    <w:pPr>
      <w:pStyle w:val="Footer"/>
      <w:pBdr>
        <w:top w:val="single" w:sz="4" w:space="1" w:color="000000"/>
      </w:pBdr>
      <w:spacing w:lineRule="auto" w:line="240"/>
      <w:ind w:end="0"/>
      <w:jc w:val="start"/>
      <w:rPr>
        <w:rFonts w:cs="TopType Jerushalmi"/>
        <w:color w:val="000000"/>
        <w:sz w:val="14"/>
        <w:szCs w:val="14"/>
      </w:rPr>
    </w:pPr>
    <w:r>
      <w:rPr>
        <w:rFonts w:cs="TopType Jerushalmi"/>
        <w:color w:val="000000"/>
        <w:sz w:val="14"/>
        <w:szCs w:val="14"/>
        <w:rtl w:val="true"/>
      </w:rPr>
      <w:fldChar w:fldCharType="begin"/>
    </w:r>
    <w:r>
      <w:rPr>
        <w:rtl w:val="true"/>
        <w:sz w:val="14"/>
        <w:szCs w:val="14"/>
        <w:rFonts w:cs="TopType Jerushalmi"/>
        <w:color w:val="000000"/>
      </w:rPr>
      <w:instrText xml:space="preserve"> FILENAME \p </w:instrText>
    </w:r>
    <w:r>
      <w:rPr>
        <w:rtl w:val="true"/>
        <w:sz w:val="14"/>
        <w:szCs w:val="14"/>
        <w:rFonts w:cs="TopType Jerushalmi"/>
        <w:color w:val="000000"/>
      </w:rPr>
      <w:fldChar w:fldCharType="separate"/>
    </w:r>
    <w:r>
      <w:rPr>
        <w:rtl w:val="true"/>
        <w:sz w:val="14"/>
        <w:szCs w:val="14"/>
        <w:rFonts w:cs="TopType Jerushalmi"/>
        <w:color w:val="000000"/>
      </w:rPr>
      <w:t>/Users/liorb/Downloads/study2025-p2/m05008053-415.doc</w:t>
    </w:r>
    <w:r>
      <w:rPr>
        <w:rtl w:val="true"/>
        <w:sz w:val="14"/>
        <w:szCs w:val="14"/>
        <w:rFonts w:cs="TopType Jerushalm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תפ</w:t>
    </w:r>
    <w:r>
      <w:rPr>
        <w:rFonts w:cs="Times New Roman"/>
        <w:color w:val="000000"/>
        <w:sz w:val="22"/>
        <w:sz w:val="22"/>
        <w:szCs w:val="22"/>
        <w:rtl w:val="true"/>
      </w:rPr>
      <w:t xml:space="preserve"> </w:t>
    </w:r>
    <w:r>
      <w:rPr>
        <w:rFonts w:cs="David"/>
        <w:color w:val="000000"/>
        <w:sz w:val="22"/>
        <w:szCs w:val="22"/>
        <w:rtl w:val="true"/>
      </w:rPr>
      <w:t>(</w:t>
    </w:r>
    <w:r>
      <w:rPr>
        <w:color w:val="000000"/>
        <w:sz w:val="22"/>
        <w:sz w:val="22"/>
        <w:szCs w:val="22"/>
        <w:rtl w:val="true"/>
      </w:rPr>
      <w:t>ב</w:t>
    </w:r>
    <w:r>
      <w:rPr>
        <w:rFonts w:cs="David"/>
        <w:color w:val="000000"/>
        <w:sz w:val="22"/>
        <w:szCs w:val="22"/>
        <w:rtl w:val="true"/>
      </w:rPr>
      <w:t>"</w:t>
    </w:r>
    <w:r>
      <w:rPr>
        <w:color w:val="000000"/>
        <w:sz w:val="22"/>
        <w:sz w:val="22"/>
        <w:szCs w:val="22"/>
        <w:rtl w:val="true"/>
      </w:rPr>
      <w:t>ש</w:t>
    </w:r>
    <w:r>
      <w:rPr>
        <w:rFonts w:cs="David"/>
        <w:color w:val="000000"/>
        <w:sz w:val="22"/>
        <w:szCs w:val="22"/>
        <w:rtl w:val="true"/>
      </w:rPr>
      <w:t xml:space="preserve">) </w:t>
    </w:r>
    <w:r>
      <w:rPr>
        <w:rFonts w:cs="David"/>
        <w:color w:val="000000"/>
        <w:sz w:val="22"/>
        <w:szCs w:val="22"/>
      </w:rPr>
      <w:t>8053/05</w:t>
    </w:r>
    <w:r>
      <w:rPr>
        <w:rFonts w:cs="David"/>
        <w:color w:val="000000"/>
        <w:sz w:val="22"/>
        <w:szCs w:val="22"/>
        <w:rtl w:val="true"/>
      </w:rPr>
      <w:tab/>
      <w:t xml:space="preserve"> </w:t>
    </w:r>
    <w:r>
      <w:rPr>
        <w:color w:val="000000"/>
        <w:sz w:val="22"/>
        <w:sz w:val="22"/>
        <w:szCs w:val="22"/>
        <w:rtl w:val="true"/>
      </w:rPr>
      <w:t>מדינת</w:t>
    </w:r>
    <w:r>
      <w:rPr>
        <w:rFonts w:cs="Times New Roman"/>
        <w:color w:val="000000"/>
        <w:sz w:val="22"/>
        <w:sz w:val="22"/>
        <w:szCs w:val="22"/>
        <w:rtl w:val="true"/>
      </w:rPr>
      <w:t xml:space="preserve"> </w:t>
    </w:r>
    <w:r>
      <w:rPr>
        <w:color w:val="000000"/>
        <w:sz w:val="22"/>
        <w:sz w:val="22"/>
        <w:szCs w:val="22"/>
        <w:rtl w:val="true"/>
      </w:rPr>
      <w:t>ישראל</w:t>
    </w:r>
    <w:r>
      <w:rPr>
        <w:rFonts w:cs="Times New Roman"/>
        <w:color w:val="000000"/>
        <w:sz w:val="22"/>
        <w:sz w:val="22"/>
        <w:szCs w:val="22"/>
        <w:rtl w:val="true"/>
      </w:rPr>
      <w:t xml:space="preserve"> </w:t>
    </w:r>
    <w:r>
      <w:rPr>
        <w:color w:val="000000"/>
        <w:sz w:val="22"/>
        <w:sz w:val="22"/>
        <w:szCs w:val="22"/>
        <w:rtl w:val="true"/>
      </w:rPr>
      <w:t>נ</w:t>
    </w:r>
    <w:r>
      <w:rPr>
        <w:rFonts w:cs="David"/>
        <w:color w:val="000000"/>
        <w:sz w:val="22"/>
        <w:szCs w:val="22"/>
        <w:rtl w:val="true"/>
      </w:rPr>
      <w:t xml:space="preserve">' </w:t>
    </w:r>
    <w:r>
      <w:rPr>
        <w:color w:val="000000"/>
        <w:sz w:val="22"/>
        <w:sz w:val="22"/>
        <w:szCs w:val="22"/>
        <w:rtl w:val="true"/>
      </w:rPr>
      <w:t>חליל</w:t>
    </w:r>
    <w:r>
      <w:rPr>
        <w:rFonts w:cs="Times New Roman"/>
        <w:color w:val="000000"/>
        <w:sz w:val="22"/>
        <w:sz w:val="22"/>
        <w:szCs w:val="22"/>
        <w:rtl w:val="true"/>
      </w:rPr>
      <w:t xml:space="preserve"> </w:t>
    </w:r>
    <w:r>
      <w:rPr>
        <w:color w:val="000000"/>
        <w:sz w:val="22"/>
        <w:sz w:val="22"/>
        <w:szCs w:val="22"/>
        <w:rtl w:val="true"/>
      </w:rPr>
      <w:t>ג</w:t>
    </w:r>
    <w:r>
      <w:rPr>
        <w:rFonts w:cs="David"/>
        <w:color w:val="000000"/>
        <w:sz w:val="22"/>
        <w:szCs w:val="22"/>
        <w:rtl w:val="true"/>
      </w:rPr>
      <w:t>'</w:t>
    </w:r>
    <w:r>
      <w:rPr>
        <w:color w:val="000000"/>
        <w:sz w:val="22"/>
        <w:sz w:val="22"/>
        <w:szCs w:val="22"/>
        <w:rtl w:val="true"/>
      </w:rPr>
      <w:t>ויעד</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ש"/>
      <w:lvlJc w:val="start"/>
      <w:pPr>
        <w:tabs>
          <w:tab w:val="num" w:pos="737"/>
        </w:tabs>
        <w:ind w:start="737" w:hanging="737"/>
      </w:pPr>
      <w:rPr>
        <w:rFonts w:ascii="Liberation Serif" w:hAnsi="Liberation Serif" w:cs="Liberation Serif" w:hint="default"/>
        <w:szCs w:val="22"/>
        <w:iCs w:val="false"/>
        <w:bCs/>
      </w:rPr>
    </w:lvl>
  </w:abstractNum>
  <w:abstractNum w:abstractNumId="3">
    <w:lvl w:ilvl="0">
      <w:start w:val="1"/>
      <w:numFmt w:val="bullet"/>
      <w:lvlText w:val="ת"/>
      <w:lvlJc w:val="start"/>
      <w:pPr>
        <w:tabs>
          <w:tab w:val="num" w:pos="720"/>
        </w:tabs>
        <w:ind w:start="720" w:hanging="360"/>
      </w:pPr>
      <w:rPr>
        <w:rFonts w:ascii="Liberation Serif" w:hAnsi="Liberation Serif" w:cs="Liberation Serif" w:hint="default"/>
      </w:rPr>
    </w:lvl>
  </w:abstractNum>
  <w:abstractNum w:abstractNumId="4">
    <w:lvl w:ilvl="0">
      <w:start w:val="1"/>
      <w:numFmt w:val="decimal"/>
      <w:lvlText w:val="%1."/>
      <w:lvlJc w:val="end"/>
      <w:pPr>
        <w:tabs>
          <w:tab w:val="num" w:pos="720"/>
        </w:tabs>
        <w:ind w:start="72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lastQuoteMode" w:val="חזור ל-Normal"/>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spacing w:lineRule="auto" w:line="360"/>
      <w:ind w:hanging="0" w:start="0" w:end="0"/>
      <w:jc w:val="both"/>
    </w:pPr>
    <w:rPr>
      <w:rFonts w:ascii="Times New Roman" w:hAnsi="Times New Roman" w:eastAsia="Times New Roman" w:cs="David"/>
      <w:color w:val="auto"/>
      <w:sz w:val="20"/>
      <w:szCs w:val="24"/>
      <w:lang w:val="en-US" w:bidi="he-IL" w:eastAsia="zh-CN"/>
    </w:rPr>
  </w:style>
  <w:style w:type="paragraph" w:styleId="Heading1">
    <w:name w:val="heading 1"/>
    <w:basedOn w:val="Normal"/>
    <w:next w:val="Normal"/>
    <w:qFormat/>
    <w:pPr>
      <w:keepNext w:val="true"/>
      <w:numPr>
        <w:ilvl w:val="0"/>
        <w:numId w:val="1"/>
      </w:numPr>
      <w:ind w:hanging="0" w:start="0" w:end="0"/>
      <w:jc w:val="center"/>
      <w:outlineLvl w:val="0"/>
    </w:pPr>
    <w:rPr>
      <w:b/>
      <w:bCs/>
      <w:sz w:val="32"/>
      <w:szCs w:val="32"/>
      <w:u w:val="single"/>
    </w:rPr>
  </w:style>
  <w:style w:type="paragraph" w:styleId="Heading2">
    <w:name w:val="heading 2"/>
    <w:basedOn w:val="Normal"/>
    <w:next w:val="Normal"/>
    <w:qFormat/>
    <w:pPr>
      <w:keepNext w:val="true"/>
      <w:numPr>
        <w:ilvl w:val="1"/>
        <w:numId w:val="1"/>
      </w:numPr>
      <w:snapToGrid w:val="false"/>
      <w:spacing w:before="240" w:after="60"/>
      <w:ind w:hanging="0" w:start="0" w:end="0"/>
      <w:jc w:val="center"/>
      <w:outlineLvl w:val="1"/>
    </w:pPr>
    <w:rPr>
      <w:rFonts w:ascii="Arial" w:hAnsi="Arial"/>
      <w:b/>
      <w:bCs/>
      <w:sz w:val="24"/>
      <w:szCs w:val="28"/>
      <w:u w:val="single"/>
    </w:rPr>
  </w:style>
  <w:style w:type="paragraph" w:styleId="Heading3">
    <w:name w:val="heading 3"/>
    <w:basedOn w:val="Normal"/>
    <w:next w:val="Normal"/>
    <w:qFormat/>
    <w:pPr>
      <w:keepNext w:val="true"/>
      <w:numPr>
        <w:ilvl w:val="2"/>
        <w:numId w:val="1"/>
      </w:numPr>
      <w:ind w:hanging="0" w:start="0" w:end="0"/>
      <w:jc w:val="both"/>
      <w:outlineLvl w:val="2"/>
    </w:pPr>
    <w:rPr>
      <w:b/>
      <w:bCs/>
    </w:rPr>
  </w:style>
  <w:style w:type="character" w:styleId="WW8Num1z0">
    <w:name w:val="WW8Num1z0"/>
    <w:qFormat/>
    <w:rPr>
      <w:bCs/>
      <w:iCs w:val="false"/>
      <w:szCs w:val="22"/>
    </w:rPr>
  </w:style>
  <w:style w:type="character" w:styleId="WW8Num2z2">
    <w:name w:val="WW8Num2z2"/>
    <w:qFormat/>
    <w:rPr>
      <w:rFonts w:ascii="Times New Roman" w:hAnsi="Times New Roman" w:eastAsia="Times New Roman" w:cs="Times New Roman"/>
    </w:rPr>
  </w:style>
  <w:style w:type="character" w:styleId="WW8Num3z0">
    <w:name w:val="WW8Num3z0"/>
    <w:qFormat/>
    <w:rPr>
      <w:rFonts w:cs="Arial"/>
    </w:rPr>
  </w:style>
  <w:style w:type="character" w:styleId="DefaultParagraphFont">
    <w:name w:val="Default Paragraph Font"/>
    <w:qFormat/>
    <w:rPr/>
  </w:style>
  <w:style w:type="character" w:styleId="PageNumber">
    <w:name w:val="page number"/>
    <w:rPr>
      <w:rFonts w:cs="David"/>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snapToGrid w:val="false"/>
      <w:ind w:hanging="0" w:start="0" w:end="0"/>
      <w:jc w:val="both"/>
    </w:pPr>
    <w:rPr/>
  </w:style>
  <w:style w:type="paragraph" w:styleId="Footer">
    <w:name w:val="footer"/>
    <w:basedOn w:val="Normal"/>
    <w:pPr>
      <w:tabs>
        <w:tab w:val="clear" w:pos="720"/>
        <w:tab w:val="center" w:pos="4153" w:leader="none"/>
        <w:tab w:val="right" w:pos="8306" w:leader="none"/>
      </w:tabs>
      <w:snapToGrid w:val="false"/>
      <w:ind w:hanging="0" w:start="0" w:end="0"/>
      <w:jc w:val="both"/>
    </w:pPr>
    <w:rPr>
      <w:sz w:val="22"/>
    </w:rPr>
  </w:style>
  <w:style w:type="paragraph" w:styleId="Signature">
    <w:name w:val="Signature"/>
    <w:basedOn w:val="Normal"/>
    <w:pPr>
      <w:ind w:hanging="0" w:start="0" w:end="0"/>
      <w:jc w:val="center"/>
    </w:pPr>
    <w:rPr>
      <w:b/>
      <w:bCs/>
      <w:sz w:val="26"/>
      <w:szCs w:val="26"/>
    </w:rPr>
  </w:style>
  <w:style w:type="paragraph" w:styleId="1">
    <w:name w:val="רגיל1"/>
    <w:qFormat/>
    <w:pPr>
      <w:widowControl/>
      <w:bidi w:val="1"/>
      <w:snapToGrid w:val="false"/>
      <w:ind w:hanging="0" w:start="0" w:end="0"/>
      <w:jc w:val="start"/>
    </w:pPr>
    <w:rPr>
      <w:rFonts w:ascii="Times New Roman" w:hAnsi="Times New Roman" w:eastAsia="Times New Roman" w:cs="David"/>
      <w:color w:val="auto"/>
      <w:sz w:val="20"/>
      <w:szCs w:val="24"/>
      <w:lang w:val="en-US" w:bidi="he-IL" w:eastAsia="zh-CN"/>
    </w:rPr>
  </w:style>
  <w:style w:type="paragraph" w:styleId="Style11">
    <w:name w:val="שמות"/>
    <w:basedOn w:val="Normal"/>
    <w:qFormat/>
    <w:pPr>
      <w:suppressLineNumbers/>
      <w:snapToGrid w:val="false"/>
      <w:ind w:hanging="0" w:start="0" w:end="0"/>
      <w:jc w:val="both"/>
    </w:pPr>
    <w:rPr>
      <w:b/>
      <w:bCs/>
      <w:sz w:val="22"/>
    </w:rPr>
  </w:style>
  <w:style w:type="paragraph" w:styleId="11">
    <w:name w:val="חתימה1"/>
    <w:basedOn w:val="Heading2"/>
    <w:qFormat/>
    <w:pPr>
      <w:numPr>
        <w:ilvl w:val="0"/>
        <w:numId w:val="0"/>
      </w:numPr>
      <w:suppressLineNumbers/>
      <w:ind w:hanging="0" w:start="0" w:end="0"/>
      <w:jc w:val="center"/>
      <w:outlineLvl w:val="9"/>
    </w:pPr>
    <w:rPr>
      <w:rFonts w:cs="Arial"/>
      <w:bCs w:val="false"/>
      <w:szCs w:val="24"/>
    </w:rPr>
  </w:style>
  <w:style w:type="paragraph" w:styleId="Style12">
    <w:name w:val="החלטה"/>
    <w:basedOn w:val="1"/>
    <w:qFormat/>
    <w:pPr>
      <w:suppressLineNumbers/>
      <w:ind w:hanging="0" w:start="0" w:end="0"/>
      <w:jc w:val="start"/>
    </w:pPr>
    <w:rPr>
      <w:bCs/>
    </w:rPr>
  </w:style>
  <w:style w:type="paragraph" w:styleId="Style13">
    <w:name w:val="חקירה"/>
    <w:basedOn w:val="1"/>
    <w:qFormat/>
    <w:pPr>
      <w:suppressLineNumbers/>
      <w:ind w:hanging="0" w:start="0" w:end="0"/>
      <w:jc w:val="start"/>
    </w:pPr>
    <w:rPr/>
  </w:style>
  <w:style w:type="paragraph" w:styleId="Style14">
    <w:name w:val="תשובה"/>
    <w:basedOn w:val="Normal"/>
    <w:next w:val="Style15"/>
    <w:qFormat/>
    <w:pPr>
      <w:numPr>
        <w:ilvl w:val="0"/>
        <w:numId w:val="3"/>
      </w:numPr>
      <w:ind w:hanging="720" w:start="720" w:end="0"/>
      <w:jc w:val="both"/>
    </w:pPr>
    <w:rPr/>
  </w:style>
  <w:style w:type="paragraph" w:styleId="Style15">
    <w:name w:val="שאלה"/>
    <w:basedOn w:val="Normal"/>
    <w:next w:val="Style14"/>
    <w:qFormat/>
    <w:pPr>
      <w:numPr>
        <w:ilvl w:val="0"/>
        <w:numId w:val="2"/>
      </w:numPr>
      <w:ind w:hanging="0" w:start="737" w:end="0"/>
      <w:jc w:val="both"/>
    </w:pPr>
    <w:rPr>
      <w:bCs/>
      <w:szCs w:val="22"/>
    </w:rPr>
  </w:style>
  <w:style w:type="paragraph" w:styleId="12">
    <w:name w:val="סגנון1"/>
    <w:basedOn w:val="Normal"/>
    <w:next w:val="Style14"/>
    <w:qFormat/>
    <w:pPr>
      <w:ind w:hanging="0" w:start="0" w:end="0"/>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b" TargetMode="External"/><Relationship Id="rId5" Type="http://schemas.openxmlformats.org/officeDocument/2006/relationships/hyperlink" Target="http://www.nevo.co.il/law/70301/144.b2" TargetMode="External"/><Relationship Id="rId6" Type="http://schemas.openxmlformats.org/officeDocument/2006/relationships/hyperlink" Target="http://www.nevo.co.il/law/70301/499.a.1" TargetMode="External"/><Relationship Id="rId7" Type="http://schemas.openxmlformats.org/officeDocument/2006/relationships/hyperlink" Target="http://www.nevo.co.il/law/5227" TargetMode="External"/><Relationship Id="rId8" Type="http://schemas.openxmlformats.org/officeDocument/2006/relationships/hyperlink" Target="http://www.nevo.co.il/law/5227/43" TargetMode="External"/><Relationship Id="rId9" Type="http://schemas.openxmlformats.org/officeDocument/2006/relationships/hyperlink" Target="http://www.nevo.co.il/law/70301/499.a.1"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law/70301/144.a" TargetMode="External"/><Relationship Id="rId14" Type="http://schemas.openxmlformats.org/officeDocument/2006/relationships/hyperlink" Target="http://www.nevo.co.il/law/5227/43" TargetMode="External"/><Relationship Id="rId15" Type="http://schemas.openxmlformats.org/officeDocument/2006/relationships/hyperlink" Target="http://www.nevo.co.il/law/5227"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2016-10-25T16:19:00Z</dcterms:created>
  <dc:creator> </dc:creator>
  <dc:description/>
  <cp:keywords/>
  <dc:language>en-IL</dc:language>
  <cp:lastModifiedBy>yafit</cp:lastModifiedBy>
  <cp:lastPrinted>2006-03-12T14:16:00Z</cp:lastPrinted>
  <dcterms:modified xsi:type="dcterms:W3CDTF">2016-10-25T16:19:00Z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חליל ג'ויעד</vt:lpwstr>
  </property>
  <property fmtid="{D5CDD505-2E9C-101B-9397-08002B2CF9AE}" pid="4" name="CITY">
    <vt:lpwstr>ב"ש</vt:lpwstr>
  </property>
  <property fmtid="{D5CDD505-2E9C-101B-9397-08002B2CF9AE}" pid="5" name="DATE">
    <vt:lpwstr>20060312</vt:lpwstr>
  </property>
  <property fmtid="{D5CDD505-2E9C-101B-9397-08002B2CF9AE}" pid="6" name="ISABSTRACT">
    <vt:lpwstr>Y</vt:lpwstr>
  </property>
  <property fmtid="{D5CDD505-2E9C-101B-9397-08002B2CF9AE}" pid="7" name="JUDGE">
    <vt:lpwstr>רחל ברקאי</vt:lpwstr>
  </property>
  <property fmtid="{D5CDD505-2E9C-101B-9397-08002B2CF9AE}" pid="8" name="LAWLISTTMP1">
    <vt:lpwstr>70301/499.a.1;144.a:2;144.b;144.b2</vt:lpwstr>
  </property>
  <property fmtid="{D5CDD505-2E9C-101B-9397-08002B2CF9AE}" pid="9" name="LAWLISTTMP2">
    <vt:lpwstr>5227/043</vt:lpwstr>
  </property>
  <property fmtid="{D5CDD505-2E9C-101B-9397-08002B2CF9AE}" pid="10" name="LAWYER">
    <vt:lpwstr>רחל אלמקייס  ו;ערן אביטל</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K1">
    <vt:lpwstr/>
  </property>
  <property fmtid="{D5CDD505-2E9C-101B-9397-08002B2CF9AE}" pid="15" name="LINKK2">
    <vt:lpwstr/>
  </property>
  <property fmtid="{D5CDD505-2E9C-101B-9397-08002B2CF9AE}" pid="16" name="LINKK3">
    <vt:lpwstr/>
  </property>
  <property fmtid="{D5CDD505-2E9C-101B-9397-08002B2CF9AE}" pid="17" name="LINKK4">
    <vt:lpwstr/>
  </property>
  <property fmtid="{D5CDD505-2E9C-101B-9397-08002B2CF9AE}" pid="18" name="LINKK5">
    <vt:lpwstr/>
  </property>
  <property fmtid="{D5CDD505-2E9C-101B-9397-08002B2CF9AE}" pid="19" name="LINKK6">
    <vt:lpwstr/>
  </property>
  <property fmtid="{D5CDD505-2E9C-101B-9397-08002B2CF9AE}" pid="20" name="LINKK7">
    <vt:lpwstr/>
  </property>
  <property fmtid="{D5CDD505-2E9C-101B-9397-08002B2CF9AE}" pid="21" name="LINKK8">
    <vt:lpwstr/>
  </property>
  <property fmtid="{D5CDD505-2E9C-101B-9397-08002B2CF9AE}" pid="22" name="LINKK9">
    <vt:lpwstr/>
  </property>
  <property fmtid="{D5CDD505-2E9C-101B-9397-08002B2CF9AE}" pid="23" name="PADIMAIL">
    <vt:lpwstr/>
  </property>
  <property fmtid="{D5CDD505-2E9C-101B-9397-08002B2CF9AE}" pid="24" name="PAGE">
    <vt:lpwstr/>
  </property>
  <property fmtid="{D5CDD505-2E9C-101B-9397-08002B2CF9AE}" pid="25" name="PART">
    <vt:lpwstr/>
  </property>
  <property fmtid="{D5CDD505-2E9C-101B-9397-08002B2CF9AE}" pid="26" name="PROCESS">
    <vt:lpwstr>תפ</vt:lpwstr>
  </property>
  <property fmtid="{D5CDD505-2E9C-101B-9397-08002B2CF9AE}" pid="27" name="PROCNUM">
    <vt:lpwstr>8053</vt:lpwstr>
  </property>
  <property fmtid="{D5CDD505-2E9C-101B-9397-08002B2CF9AE}" pid="28" name="PROCYEAR">
    <vt:lpwstr>05</vt:lpwstr>
  </property>
  <property fmtid="{D5CDD505-2E9C-101B-9397-08002B2CF9AE}" pid="29" name="PSAKDIN">
    <vt:lpwstr>גזר-דין</vt:lpwstr>
  </property>
  <property fmtid="{D5CDD505-2E9C-101B-9397-08002B2CF9AE}" pid="30" name="TYPE">
    <vt:lpwstr>2</vt:lpwstr>
  </property>
  <property fmtid="{D5CDD505-2E9C-101B-9397-08002B2CF9AE}" pid="31" name="VOLUME">
    <vt:lpwstr/>
  </property>
  <property fmtid="{D5CDD505-2E9C-101B-9397-08002B2CF9AE}" pid="32" name="WORDNUMPAGES">
    <vt:lpwstr>5</vt:lpwstr>
  </property>
</Properties>
</file>