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 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 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א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 xml:space="preserve">אור מפרקליטות מחוז דרום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spacing w:before="600" w:after="0"/>
              <w:ind w:end="0"/>
              <w:jc w:val="center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spacing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5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 xml:space="preserve">יורם מזרחי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 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 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 xml:space="preserve">ד </w:t>
            </w:r>
          </w:p>
        </w:tc>
        <w:tc>
          <w:tcPr>
            <w:tcW w:w="3119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 xml:space="preserve">לילוף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11"/>
        <w:suppressLineNumbers/>
        <w:ind w:end="0"/>
        <w:jc w:val="start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1"/>
        <w:suppressLineNumbers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11"/>
        <w:suppressLineNumbers/>
        <w:ind w:end="0"/>
        <w:jc w:val="start"/>
        <w:rPr/>
      </w:pPr>
      <w:r>
        <w:rPr>
          <w:rtl w:val="true"/>
        </w:rPr>
      </w:r>
    </w:p>
    <w:p>
      <w:pPr>
        <w:pStyle w:val="11"/>
        <w:suppressLineNumbers/>
        <w:ind w:end="0"/>
        <w:jc w:val="start"/>
        <w:rPr/>
      </w:pPr>
      <w:r>
        <w:rPr>
          <w:rtl w:val="true"/>
        </w:rPr>
      </w:r>
    </w:p>
    <w:p>
      <w:pPr>
        <w:pStyle w:val="Heading2"/>
        <w:suppressLineNumbers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Tuta"/>
        <w:ind w:end="0"/>
        <w:jc w:val="center"/>
        <w:rPr>
          <w:rFonts w:ascii="Arial" w:hAnsi="Arial" w:cs="Arial"/>
          <w:b/>
          <w:bCs/>
          <w:iCs w:val="false"/>
          <w:color w:val="000000"/>
          <w:sz w:val="24"/>
          <w:szCs w:val="28"/>
          <w:u w:val="single"/>
          <w:lang w:val="en-US" w:eastAsia="he-IL"/>
        </w:rPr>
      </w:pPr>
      <w:bookmarkStart w:id="4" w:name="PsakDin"/>
      <w:bookmarkStart w:id="5" w:name="Status"/>
      <w:bookmarkEnd w:id="4"/>
      <w:bookmarkEnd w:id="5"/>
      <w:r>
        <w:rPr>
          <w:rFonts w:ascii="Arial" w:hAnsi="Arial" w:cs="Arial"/>
          <w:b/>
          <w:b/>
          <w:bCs/>
          <w:iCs w:val="false"/>
          <w:color w:val="000000"/>
          <w:sz w:val="24"/>
          <w:sz w:val="24"/>
          <w:szCs w:val="28"/>
          <w:u w:val="single"/>
          <w:rtl w:val="true"/>
          <w:lang w:val="en-US" w:eastAsia="he-IL"/>
        </w:rPr>
        <w:t>גזר דין</w:t>
      </w:r>
    </w:p>
    <w:p>
      <w:pPr>
        <w:pStyle w:val="Tuta"/>
        <w:ind w:end="0"/>
        <w:jc w:val="center"/>
        <w:rPr>
          <w:rFonts w:ascii="Arial" w:hAnsi="Arial" w:cs="Arial"/>
          <w:b/>
          <w:bCs/>
          <w:iCs w:val="false"/>
          <w:color w:val="000000"/>
          <w:sz w:val="24"/>
          <w:szCs w:val="28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 w:val="24"/>
          <w:szCs w:val="28"/>
          <w:u w:val="single"/>
          <w:rtl w:val="true"/>
          <w:lang w:val="en-US" w:eastAsia="he-IL"/>
        </w:rPr>
      </w:r>
      <w:bookmarkStart w:id="6" w:name="PsakDin"/>
      <w:bookmarkStart w:id="7" w:name="PsakDin"/>
      <w:bookmarkEnd w:id="7"/>
    </w:p>
    <w:p>
      <w:pPr>
        <w:pStyle w:val="Tuta"/>
        <w:ind w:end="0"/>
        <w:jc w:val="center"/>
        <w:rPr/>
      </w:pPr>
      <w:r>
        <w:rPr>
          <w:rtl w:val="true"/>
        </w:rPr>
        <w:t xml:space="preserve"> </w:t>
      </w:r>
    </w:p>
    <w:p>
      <w:pPr>
        <w:pStyle w:val="Normal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 xml:space="preserve">הנאשם הורשע </w:t>
      </w:r>
      <w:r>
        <w:rPr>
          <w:rtl w:val="true"/>
        </w:rPr>
        <w:t xml:space="preserve">- </w:t>
      </w:r>
      <w:r>
        <w:rPr>
          <w:rtl w:val="true"/>
        </w:rPr>
        <w:t>על פי הודאתו ועל יסוד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שבמסגרתו תוקן כתב האישום המקורי </w:t>
      </w:r>
      <w:r>
        <w:rPr>
          <w:rtl w:val="true"/>
        </w:rPr>
        <w:t xml:space="preserve">-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>חבלה בכוונה מחמירה</w:t>
      </w:r>
      <w:bookmarkStart w:id="9" w:name="ABSTRACT_END"/>
      <w:bookmarkEnd w:id="9"/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hyperlink r:id="rId10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>נסיון לחבלה חמורה בנסיבות מחמירות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hyperlink r:id="rId13"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 xml:space="preserve">- , </w:t>
      </w:r>
      <w:r>
        <w:rPr>
          <w:rtl w:val="true"/>
        </w:rPr>
        <w:t xml:space="preserve">בשילוב עם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ובשתי עבירות של </w:t>
      </w:r>
      <w:r>
        <w:rPr>
          <w:b/>
          <w:b/>
          <w:bCs/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hyperlink r:id="rId1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העבירות הנ</w:t>
      </w:r>
      <w:r>
        <w:rPr>
          <w:rtl w:val="true"/>
        </w:rPr>
        <w:t>"</w:t>
      </w:r>
      <w:r>
        <w:rPr>
          <w:rtl w:val="true"/>
        </w:rPr>
        <w:t>ל מתייחסות לשני אירועים שונים</w:t>
      </w:r>
      <w:r>
        <w:rPr>
          <w:rtl w:val="true"/>
        </w:rPr>
        <w:t xml:space="preserve">, </w:t>
      </w:r>
      <w:r>
        <w:rPr>
          <w:rtl w:val="true"/>
        </w:rPr>
        <w:t>בהם ירה הנאשם בנשק לעבר אנשים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 xml:space="preserve">האירוע הראשון </w:t>
      </w:r>
      <w:r>
        <w:rPr>
          <w:rtl w:val="true"/>
        </w:rPr>
        <w:t xml:space="preserve">התרחש ביום </w:t>
      </w:r>
      <w:r>
        <w:rPr/>
        <w:t>21.2.97</w:t>
      </w:r>
      <w:r>
        <w:rPr>
          <w:rtl w:val="true"/>
        </w:rPr>
        <w:t xml:space="preserve"> , </w:t>
      </w:r>
      <w:r>
        <w:rPr>
          <w:rtl w:val="true"/>
        </w:rPr>
        <w:t>כאשר הנאשם הגיע</w:t>
      </w:r>
      <w:r>
        <w:rPr>
          <w:rtl w:val="true"/>
        </w:rPr>
        <w:t xml:space="preserve">, </w:t>
      </w:r>
      <w:r>
        <w:rPr>
          <w:rtl w:val="true"/>
        </w:rPr>
        <w:t>יחד עם אחר</w:t>
      </w:r>
      <w:r>
        <w:rPr>
          <w:rtl w:val="true"/>
        </w:rPr>
        <w:t xml:space="preserve">, </w:t>
      </w:r>
      <w:r>
        <w:rPr>
          <w:rtl w:val="true"/>
        </w:rPr>
        <w:t xml:space="preserve">לדירתו של אדם בשם נסים דואני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דואני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כשהוא מצויד באקדח</w:t>
      </w:r>
      <w:r>
        <w:rPr>
          <w:rtl w:val="true"/>
        </w:rPr>
        <w:t xml:space="preserve">, </w:t>
      </w:r>
      <w:r>
        <w:rPr>
          <w:rtl w:val="true"/>
        </w:rPr>
        <w:t xml:space="preserve">וכשדואני פתח להם את דלת הדירה </w:t>
      </w:r>
      <w:r>
        <w:rPr>
          <w:rtl w:val="true"/>
        </w:rPr>
        <w:t>(</w:t>
      </w:r>
      <w:r>
        <w:rPr>
          <w:rtl w:val="true"/>
        </w:rPr>
        <w:t>לאחר שהנאשם והאחר שהיה עימו הציגו עצמם כשוטרים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) </w:t>
      </w:r>
      <w:r>
        <w:rPr>
          <w:rtl w:val="true"/>
        </w:rPr>
        <w:t>ירה הנאשם לעבר דואני מספר יריות שכתוצאה מהן נפגע ונחבל דואני חבלה חמורה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אירוע זה ייקרא 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אירוע הירי בדואני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האירוע השני</w:t>
      </w:r>
      <w:r>
        <w:rPr>
          <w:rtl w:val="true"/>
        </w:rPr>
        <w:t xml:space="preserve"> התרחש בתאריך </w:t>
      </w:r>
      <w:r>
        <w:rPr/>
        <w:t>1.5.97</w:t>
      </w:r>
      <w:r>
        <w:rPr>
          <w:rtl w:val="true"/>
        </w:rPr>
        <w:t xml:space="preserve">. </w:t>
      </w:r>
      <w:r>
        <w:rPr>
          <w:rtl w:val="true"/>
        </w:rPr>
        <w:t>היה זה כאשר הנאשם הגיע אל הבנין שבו מתגורר אחד</w:t>
      </w:r>
      <w:r>
        <w:rPr>
          <w:rtl w:val="true"/>
        </w:rPr>
        <w:t xml:space="preserve">, </w:t>
      </w:r>
      <w:r>
        <w:rPr>
          <w:rtl w:val="true"/>
        </w:rPr>
        <w:t xml:space="preserve">בשם אלי טולדאנו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טולדאנו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וכשהוא מצויד באקדח</w:t>
      </w:r>
      <w:r>
        <w:rPr>
          <w:rtl w:val="true"/>
        </w:rPr>
        <w:t xml:space="preserve">. </w:t>
      </w:r>
      <w:r>
        <w:rPr>
          <w:rtl w:val="true"/>
        </w:rPr>
        <w:t>בהיותו למטה ליד הבנין הנ</w:t>
      </w:r>
      <w:r>
        <w:rPr>
          <w:rtl w:val="true"/>
        </w:rPr>
        <w:t>"</w:t>
      </w:r>
      <w:r>
        <w:rPr>
          <w:rtl w:val="true"/>
        </w:rPr>
        <w:t>ל שרק אל טולדאנו</w:t>
      </w:r>
      <w:r>
        <w:rPr>
          <w:rtl w:val="true"/>
        </w:rPr>
        <w:t xml:space="preserve">, </w:t>
      </w:r>
      <w:r>
        <w:rPr>
          <w:rtl w:val="true"/>
        </w:rPr>
        <w:t>במטרה שזה יענה לו מבעד לחלון דירתו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למשמע השריקות הציצו טולדאנו וחברתו מבעד לחלון</w:t>
      </w:r>
      <w:r>
        <w:rPr>
          <w:rtl w:val="true"/>
        </w:rPr>
        <w:t xml:space="preserve">, </w:t>
      </w:r>
      <w:r>
        <w:rPr>
          <w:rtl w:val="true"/>
        </w:rPr>
        <w:t xml:space="preserve">ואו אז ירה הנאשם לעברם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 שחלקן חדרו מבעד לחלון ואל תוך הדירה</w:t>
      </w:r>
      <w:r>
        <w:rPr>
          <w:rtl w:val="true"/>
        </w:rPr>
        <w:t xml:space="preserve">, </w:t>
      </w:r>
      <w:r>
        <w:rPr>
          <w:rtl w:val="true"/>
        </w:rPr>
        <w:t>כשבכך ניסה הנאשם לפגוע בהם ולגרום להם לחבלה חמורה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יצויין </w:t>
      </w:r>
      <w:r>
        <w:rPr>
          <w:rtl w:val="true"/>
        </w:rPr>
        <w:t xml:space="preserve">- </w:t>
      </w:r>
      <w:r>
        <w:rPr>
          <w:rtl w:val="true"/>
        </w:rPr>
        <w:t>ועובדה זו אינה שנויה במחלוקת</w:t>
      </w:r>
      <w:r>
        <w:rPr>
          <w:rtl w:val="true"/>
        </w:rPr>
        <w:t xml:space="preserve">, </w:t>
      </w:r>
      <w:r>
        <w:rPr>
          <w:rtl w:val="true"/>
        </w:rPr>
        <w:t xml:space="preserve">והיא אף כלולה בין עובדות כתב האישום </w:t>
      </w:r>
      <w:r>
        <w:rPr>
          <w:rtl w:val="true"/>
        </w:rPr>
        <w:t xml:space="preserve">- </w:t>
      </w:r>
      <w:r>
        <w:rPr>
          <w:rtl w:val="true"/>
        </w:rPr>
        <w:t xml:space="preserve">כי את העבירה ביצע הנאשם בשליחותו של אחד בשם אופיר סויסה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אופיר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שהיה עצור באותו זמן בבית מעצר</w:t>
      </w:r>
      <w:r>
        <w:rPr>
          <w:rtl w:val="true"/>
        </w:rPr>
        <w:t xml:space="preserve">, </w:t>
      </w:r>
      <w:r>
        <w:rPr>
          <w:rtl w:val="true"/>
        </w:rPr>
        <w:t>עקב עבירות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ולאחר שזה שידל את הנאשם </w:t>
      </w:r>
      <w:r>
        <w:rPr>
          <w:rtl w:val="true"/>
        </w:rPr>
        <w:t>(</w:t>
      </w:r>
      <w:r>
        <w:rPr>
          <w:rtl w:val="true"/>
        </w:rPr>
        <w:t>מבית המעצר</w:t>
      </w:r>
      <w:r>
        <w:rPr>
          <w:rtl w:val="true"/>
        </w:rPr>
        <w:t xml:space="preserve">) </w:t>
      </w:r>
      <w:r>
        <w:rPr>
          <w:rtl w:val="true"/>
        </w:rPr>
        <w:t>במשך תקופת זמן לירות בטולדאנו ולגרום לו חבלה חמורה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  <w:t>(</w:t>
      </w:r>
      <w:r>
        <w:rPr>
          <w:rtl w:val="true"/>
        </w:rPr>
        <w:t>אירוע זה ייקרא 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אירוע הירי בטולדאנו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בנוסף לעבירות נשוא שני האירועים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הורשע הנאשם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גם בעבירה של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ובעבירה של </w:t>
      </w:r>
      <w:r>
        <w:rPr>
          <w:b/>
          <w:b/>
          <w:bCs/>
          <w:rtl w:val="true"/>
        </w:rPr>
        <w:t>החזקת סכין שלא כדין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 xml:space="preserve">- </w:t>
      </w:r>
      <w:r>
        <w:rPr>
          <w:rtl w:val="true"/>
        </w:rPr>
        <w:t>עבירות שיוחסו לו בכתב האישום שבתיק 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1515/98</w:t>
      </w:r>
      <w:r>
        <w:rPr>
          <w:rtl w:val="true"/>
        </w:rPr>
        <w:t xml:space="preserve"> </w:t>
      </w:r>
      <w:r>
        <w:rPr>
          <w:rtl w:val="true"/>
        </w:rPr>
        <w:t>של בית משפט השלום באשקלון</w:t>
      </w:r>
      <w:r>
        <w:rPr>
          <w:rtl w:val="true"/>
        </w:rPr>
        <w:t xml:space="preserve">, </w:t>
      </w:r>
      <w:r>
        <w:rPr>
          <w:rtl w:val="true"/>
        </w:rPr>
        <w:t xml:space="preserve">ושאותו ביקש </w:t>
      </w:r>
      <w:r>
        <w:rPr>
          <w:rtl w:val="true"/>
        </w:rPr>
        <w:t>(</w:t>
      </w:r>
      <w:r>
        <w:rPr>
          <w:rtl w:val="true"/>
        </w:rPr>
        <w:t>עובר לשמיעת הטיעונים לענש בתיק דנן</w:t>
      </w:r>
      <w:r>
        <w:rPr>
          <w:rtl w:val="true"/>
        </w:rPr>
        <w:t xml:space="preserve">) </w:t>
      </w:r>
      <w:r>
        <w:rPr>
          <w:rtl w:val="true"/>
        </w:rPr>
        <w:t>לצרף ולגזור את דינו באחת גם ביחס לעבירות האמורות בו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 ביצוע העבירות פורטו בכתב האישום האמור</w:t>
      </w:r>
      <w:r>
        <w:rPr>
          <w:rtl w:val="true"/>
        </w:rPr>
        <w:t xml:space="preserve">, </w:t>
      </w:r>
      <w:r>
        <w:rPr>
          <w:rtl w:val="true"/>
        </w:rPr>
        <w:t xml:space="preserve">שממנו עולה כי בתאריך </w:t>
      </w:r>
      <w:r>
        <w:rPr>
          <w:b/>
          <w:bCs/>
        </w:rPr>
        <w:t>16.1.98</w:t>
      </w:r>
      <w:r>
        <w:rPr>
          <w:rtl w:val="true"/>
        </w:rPr>
        <w:t xml:space="preserve">, </w:t>
      </w:r>
      <w:r>
        <w:rPr>
          <w:rtl w:val="true"/>
        </w:rPr>
        <w:t xml:space="preserve">בעת שהנאשם היה מוחזק בבית המעצר לכיש </w:t>
      </w:r>
      <w:r>
        <w:rPr>
          <w:rtl w:val="true"/>
        </w:rPr>
        <w:t>(</w:t>
      </w:r>
      <w:r>
        <w:rPr>
          <w:rtl w:val="true"/>
        </w:rPr>
        <w:t>בגין עבירות הירי הנ</w:t>
      </w:r>
      <w:r>
        <w:rPr>
          <w:rtl w:val="true"/>
        </w:rPr>
        <w:t>"</w:t>
      </w:r>
      <w:r>
        <w:rPr>
          <w:rtl w:val="true"/>
        </w:rPr>
        <w:t>ל ועבירות אחרות</w:t>
      </w:r>
      <w:r>
        <w:rPr>
          <w:rtl w:val="true"/>
        </w:rPr>
        <w:t xml:space="preserve">), </w:t>
      </w:r>
      <w:r>
        <w:rPr>
          <w:rtl w:val="true"/>
        </w:rPr>
        <w:t>הוציא סכין מתוך נעלו</w:t>
      </w:r>
      <w:r>
        <w:rPr>
          <w:rtl w:val="true"/>
        </w:rPr>
        <w:t xml:space="preserve">, </w:t>
      </w:r>
      <w:r>
        <w:rPr>
          <w:rtl w:val="true"/>
        </w:rPr>
        <w:t>הניף אותה כנגד שוטר</w:t>
      </w:r>
      <w:r>
        <w:rPr>
          <w:rtl w:val="true"/>
        </w:rPr>
        <w:t xml:space="preserve">, </w:t>
      </w:r>
      <w:r>
        <w:rPr>
          <w:rtl w:val="true"/>
        </w:rPr>
        <w:t>בשם שלמה בן זקן</w:t>
      </w:r>
      <w:r>
        <w:rPr>
          <w:rtl w:val="true"/>
        </w:rPr>
        <w:t xml:space="preserve">, </w:t>
      </w:r>
      <w:r>
        <w:rPr>
          <w:rtl w:val="true"/>
        </w:rPr>
        <w:t>והתריס לעברו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 זקן</w:t>
      </w:r>
      <w:r>
        <w:rPr>
          <w:rtl w:val="true"/>
        </w:rPr>
        <w:t xml:space="preserve">, </w:t>
      </w:r>
      <w:r>
        <w:rPr>
          <w:rtl w:val="true"/>
        </w:rPr>
        <w:t>תיזהר</w:t>
      </w:r>
      <w:r>
        <w:rPr>
          <w:rtl w:val="true"/>
        </w:rPr>
        <w:t xml:space="preserve">, </w:t>
      </w:r>
      <w:r>
        <w:rPr>
          <w:rtl w:val="true"/>
        </w:rPr>
        <w:t>אל תתקרב</w:t>
      </w:r>
      <w:r>
        <w:rPr>
          <w:rtl w:val="true"/>
        </w:rPr>
        <w:t xml:space="preserve">, </w:t>
      </w:r>
      <w:r>
        <w:rPr>
          <w:rtl w:val="true"/>
        </w:rPr>
        <w:t xml:space="preserve">למה </w:t>
      </w:r>
      <w:r>
        <w:rPr>
          <w:rtl w:val="true"/>
        </w:rPr>
        <w:t>(</w:t>
      </w:r>
      <w:r>
        <w:rPr>
          <w:rtl w:val="true"/>
        </w:rPr>
        <w:t>כי</w:t>
      </w:r>
      <w:r>
        <w:rPr>
          <w:rtl w:val="true"/>
        </w:rPr>
        <w:t xml:space="preserve">) </w:t>
      </w:r>
      <w:r>
        <w:rPr>
          <w:rtl w:val="true"/>
        </w:rPr>
        <w:t>אני אדקור אותך</w:t>
      </w:r>
      <w:r>
        <w:rPr>
          <w:rtl w:val="true"/>
        </w:rPr>
        <w:t>".</w:t>
      </w:r>
    </w:p>
    <w:p>
      <w:pPr>
        <w:pStyle w:val="Normal"/>
        <w:ind w:hanging="567" w:start="567" w:end="0"/>
        <w:jc w:val="both"/>
        <w:rPr/>
      </w:pPr>
      <w:r>
        <w:rPr>
          <w:sz w:val="24"/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העבירות המצורפות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ראוי להדגיש</w:t>
      </w:r>
      <w:r>
        <w:rPr>
          <w:rtl w:val="true"/>
        </w:rPr>
        <w:t xml:space="preserve">, </w:t>
      </w:r>
      <w:r>
        <w:rPr>
          <w:rtl w:val="true"/>
        </w:rPr>
        <w:t>כי הסדר הטיעון שנתגבש בין הצדדים מתייחס אך ורק לעבירות נשוא שני אירועי הירי הנ</w:t>
      </w:r>
      <w:r>
        <w:rPr>
          <w:rtl w:val="true"/>
        </w:rPr>
        <w:t>"</w:t>
      </w:r>
      <w:r>
        <w:rPr>
          <w:rtl w:val="true"/>
        </w:rPr>
        <w:t>ל ואינו מתייחס לעבירות המצורפות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הסדר טיעון זה</w:t>
      </w:r>
      <w:r>
        <w:rPr>
          <w:rtl w:val="true"/>
        </w:rPr>
        <w:t xml:space="preserve">, </w:t>
      </w:r>
      <w:r>
        <w:rPr>
          <w:rtl w:val="true"/>
        </w:rPr>
        <w:t>הוסכם כי שלושה אישומים נוספים שיוחסו לנאשם בכתב האישום המקורי יימחקו</w:t>
      </w:r>
      <w:r>
        <w:rPr>
          <w:rtl w:val="true"/>
        </w:rPr>
        <w:t xml:space="preserve">, </w:t>
      </w:r>
      <w:r>
        <w:rPr>
          <w:rtl w:val="true"/>
        </w:rPr>
        <w:t>ואילו באשר לעונש בגין שני האישומים הנותרים המתיחסים לשני אירועי הירי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תעתור המדינה לעונש של מאסר בפועל שלא יעלה על שבע שנים ומחצה</w:t>
      </w:r>
      <w:r>
        <w:rPr>
          <w:rtl w:val="true"/>
        </w:rPr>
        <w:t xml:space="preserve">, </w:t>
      </w:r>
      <w:r>
        <w:rPr>
          <w:rtl w:val="true"/>
        </w:rPr>
        <w:t>ואילו הנאשם יהא חופשי לטעון כאוות נפשו לעונש פחות מזה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>כי להסדר טיעון זה הגיעו הצדדים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כבר בישיבה מיום </w:t>
      </w:r>
      <w:r>
        <w:rPr>
          <w:b/>
          <w:bCs/>
        </w:rPr>
        <w:t>1.1.98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שנועדה לתחילת פרשת ההוכחות </w:t>
      </w:r>
      <w:r>
        <w:rPr>
          <w:rtl w:val="true"/>
        </w:rPr>
        <w:t>(</w:t>
      </w:r>
      <w:r>
        <w:rPr>
          <w:rtl w:val="true"/>
        </w:rPr>
        <w:t xml:space="preserve">שלשמה נקבעו עוד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ישיבות נוספות</w:t>
      </w:r>
      <w:r>
        <w:rPr>
          <w:rtl w:val="true"/>
        </w:rPr>
        <w:t xml:space="preserve">), </w:t>
      </w:r>
      <w:r>
        <w:rPr>
          <w:rtl w:val="true"/>
        </w:rPr>
        <w:t>ועל יסודו גם הורשע הנאשם בעבירות נשוא שני אירועי הירי האמורים</w:t>
      </w:r>
      <w:r>
        <w:rPr>
          <w:rtl w:val="true"/>
        </w:rPr>
        <w:t xml:space="preserve">, </w:t>
      </w:r>
      <w:r>
        <w:rPr>
          <w:rtl w:val="true"/>
        </w:rPr>
        <w:t>והדיון נדחה לצורך קבלת תסקיר שירות מבחן והשמעת הטיעונים לענש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ובטרם הישיבה הנ</w:t>
      </w:r>
      <w:r>
        <w:rPr>
          <w:rtl w:val="true"/>
        </w:rPr>
        <w:t>"</w:t>
      </w:r>
      <w:r>
        <w:rPr>
          <w:rtl w:val="true"/>
        </w:rPr>
        <w:t>ל שנקבעה לשמיעת הטיעונים לענש</w:t>
      </w:r>
      <w:r>
        <w:rPr>
          <w:rtl w:val="true"/>
        </w:rPr>
        <w:t xml:space="preserve">, </w:t>
      </w:r>
      <w:r>
        <w:rPr>
          <w:rtl w:val="true"/>
        </w:rPr>
        <w:t xml:space="preserve">ביקש הנאשם </w:t>
      </w:r>
      <w:r>
        <w:rPr>
          <w:rtl w:val="true"/>
        </w:rPr>
        <w:t>(</w:t>
      </w:r>
      <w:r>
        <w:rPr>
          <w:rtl w:val="true"/>
        </w:rPr>
        <w:t>במכתב שכתב בעצמו</w:t>
      </w:r>
      <w:r>
        <w:rPr>
          <w:rtl w:val="true"/>
        </w:rPr>
        <w:t xml:space="preserve">) </w:t>
      </w:r>
      <w:r>
        <w:rPr>
          <w:rtl w:val="true"/>
        </w:rPr>
        <w:t>לחזור בו מהסדר הטיעון ומהודאתו בעבירות הירי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ולבקשתו זו נעניתי</w:t>
      </w:r>
      <w:r>
        <w:rPr>
          <w:rtl w:val="true"/>
        </w:rPr>
        <w:t xml:space="preserve">. </w:t>
      </w:r>
      <w:r>
        <w:rPr>
          <w:rtl w:val="true"/>
        </w:rPr>
        <w:t xml:space="preserve">כתוצאה מכך הוחזר כתב האישום המקורי על כנו ונאלצתי לקבוע מספר רב של ישיבות לפרשת ההוכחות </w:t>
      </w:r>
      <w:r>
        <w:rPr>
          <w:rtl w:val="true"/>
        </w:rPr>
        <w:t>(</w:t>
      </w:r>
      <w:r>
        <w:rPr>
          <w:rtl w:val="true"/>
        </w:rPr>
        <w:t>לאחר שקודמותיהן שנקבעו בטרם הסדר הטיעון בוטלו בעקבותיו</w:t>
      </w:r>
      <w:r>
        <w:rPr>
          <w:rtl w:val="true"/>
        </w:rPr>
        <w:t xml:space="preserve">) </w:t>
      </w:r>
      <w:r>
        <w:rPr>
          <w:rtl w:val="true"/>
        </w:rPr>
        <w:t>ובמהלכן נשטחה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בפני כל פרשת הראיות</w:t>
      </w:r>
      <w:r>
        <w:rPr>
          <w:rtl w:val="true"/>
        </w:rPr>
        <w:t xml:space="preserve">, </w:t>
      </w:r>
      <w:r>
        <w:rPr>
          <w:rtl w:val="true"/>
        </w:rPr>
        <w:t>שנתמשכה על פני כשנה</w:t>
      </w:r>
      <w:r>
        <w:rPr>
          <w:rtl w:val="true"/>
        </w:rPr>
        <w:t xml:space="preserve">, </w:t>
      </w:r>
      <w:r>
        <w:rPr>
          <w:rtl w:val="true"/>
        </w:rPr>
        <w:t xml:space="preserve">כשמטעם התביעה העידו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עדי תביעה</w:t>
      </w:r>
      <w:r>
        <w:rPr>
          <w:rtl w:val="true"/>
        </w:rPr>
        <w:t xml:space="preserve">, </w:t>
      </w:r>
      <w:r>
        <w:rPr>
          <w:rtl w:val="true"/>
        </w:rPr>
        <w:t xml:space="preserve">ומטעם ההגנה העידו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והוגשו למעלה מ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מוצגים</w:t>
      </w:r>
      <w:r>
        <w:rPr>
          <w:rtl w:val="true"/>
        </w:rPr>
        <w:t xml:space="preserve">. </w:t>
      </w:r>
      <w:r>
        <w:rPr>
          <w:rtl w:val="true"/>
        </w:rPr>
        <w:t>פרוטוקול הדיונים השתרע אף הוא על למעלה מ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בישיבת יום </w:t>
      </w:r>
      <w:r>
        <w:rPr/>
        <w:t>30.12.98</w:t>
      </w:r>
      <w:r>
        <w:rPr>
          <w:rtl w:val="true"/>
        </w:rPr>
        <w:t xml:space="preserve"> - </w:t>
      </w:r>
      <w:r>
        <w:rPr>
          <w:rtl w:val="true"/>
        </w:rPr>
        <w:t>שיועדה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 xml:space="preserve">לשמיעת עדויות הזמה </w:t>
      </w:r>
      <w:r>
        <w:rPr>
          <w:rtl w:val="true"/>
        </w:rPr>
        <w:t>(</w:t>
      </w:r>
      <w:r>
        <w:rPr>
          <w:rtl w:val="true"/>
        </w:rPr>
        <w:t>הכחשה</w:t>
      </w:r>
      <w:r>
        <w:rPr>
          <w:rtl w:val="true"/>
        </w:rPr>
        <w:t xml:space="preserve">) </w:t>
      </w:r>
      <w:r>
        <w:rPr>
          <w:rtl w:val="true"/>
        </w:rPr>
        <w:t xml:space="preserve">מטעם המדינה ולסיום פרשת הראיות בכללותה </w:t>
      </w:r>
      <w:r>
        <w:rPr>
          <w:rtl w:val="true"/>
        </w:rPr>
        <w:t xml:space="preserve">- </w:t>
      </w:r>
      <w:r>
        <w:rPr>
          <w:rtl w:val="true"/>
        </w:rPr>
        <w:t>ביקש הנאשם לחזור להסדר הטיעון המקורי</w:t>
      </w:r>
      <w:r>
        <w:rPr>
          <w:rtl w:val="true"/>
        </w:rPr>
        <w:t xml:space="preserve">, </w:t>
      </w:r>
      <w:r>
        <w:rPr>
          <w:rtl w:val="true"/>
        </w:rPr>
        <w:t>ולאחר שבלב לא קל נאות ב</w:t>
      </w:r>
      <w:r>
        <w:rPr>
          <w:rtl w:val="true"/>
        </w:rPr>
        <w:t>"</w:t>
      </w:r>
      <w:r>
        <w:rPr>
          <w:rtl w:val="true"/>
        </w:rPr>
        <w:t>כ המדינה להסכים לכך</w:t>
      </w:r>
      <w:r>
        <w:rPr>
          <w:rtl w:val="true"/>
        </w:rPr>
        <w:t xml:space="preserve">, </w:t>
      </w:r>
      <w:r>
        <w:rPr>
          <w:rtl w:val="true"/>
        </w:rPr>
        <w:t>הורשע הנאשם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בשני אירועי הירי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ועל יסוד הסדר הטיעון המקורי שעל המוסכם בו עמדנו לעיל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ראוי עוד לציין</w:t>
      </w:r>
      <w:r>
        <w:rPr>
          <w:rtl w:val="true"/>
        </w:rPr>
        <w:t xml:space="preserve">, </w:t>
      </w:r>
      <w:r>
        <w:rPr>
          <w:rtl w:val="true"/>
        </w:rPr>
        <w:t>כי גם לצורך הטיעונים לעונש ביקש הנאשם להשמיע עדים ולהציג מסמכים</w:t>
      </w:r>
      <w:r>
        <w:rPr>
          <w:rtl w:val="true"/>
        </w:rPr>
        <w:t xml:space="preserve">, </w:t>
      </w:r>
      <w:r>
        <w:rPr>
          <w:rtl w:val="true"/>
        </w:rPr>
        <w:t>ומבוקשו נענה</w:t>
      </w:r>
      <w:r>
        <w:rPr>
          <w:rtl w:val="true"/>
        </w:rPr>
        <w:t xml:space="preserve">. </w:t>
      </w:r>
      <w:r>
        <w:rPr>
          <w:rtl w:val="true"/>
        </w:rPr>
        <w:t>במסגרת זו נשמעו שני עדים נוספים מטעם הנאשם והוגשו מסמכים</w:t>
      </w:r>
      <w:r>
        <w:rPr>
          <w:rtl w:val="true"/>
        </w:rPr>
        <w:t xml:space="preserve">, </w:t>
      </w:r>
      <w:r>
        <w:rPr>
          <w:rtl w:val="true"/>
        </w:rPr>
        <w:t>הן מטעם המדינה והן מטעם הנאשם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בטיעוניו בפני</w:t>
      </w:r>
      <w:r>
        <w:rPr>
          <w:rtl w:val="true"/>
        </w:rPr>
        <w:t xml:space="preserve">, </w:t>
      </w:r>
      <w:r>
        <w:rPr>
          <w:rtl w:val="true"/>
        </w:rPr>
        <w:t>לענין העונש</w:t>
      </w:r>
      <w:r>
        <w:rPr>
          <w:rtl w:val="true"/>
        </w:rPr>
        <w:t xml:space="preserve">, </w:t>
      </w:r>
      <w:r>
        <w:rPr>
          <w:rtl w:val="true"/>
        </w:rPr>
        <w:t>ביקש ב</w:t>
      </w:r>
      <w:r>
        <w:rPr>
          <w:rtl w:val="true"/>
        </w:rPr>
        <w:t>"</w:t>
      </w:r>
      <w:r>
        <w:rPr>
          <w:rtl w:val="true"/>
        </w:rPr>
        <w:t xml:space="preserve">כ המדינה להטיל על הנאשם את מלוא </w:t>
      </w:r>
      <w:r>
        <w:rPr>
          <w:rtl w:val="true"/>
        </w:rPr>
        <w:t>"</w:t>
      </w:r>
      <w:r>
        <w:rPr>
          <w:rtl w:val="true"/>
        </w:rPr>
        <w:t>תיקרת</w:t>
      </w:r>
      <w:r>
        <w:rPr>
          <w:rtl w:val="true"/>
        </w:rPr>
        <w:t xml:space="preserve">" </w:t>
      </w:r>
      <w:r>
        <w:rPr>
          <w:rtl w:val="true"/>
        </w:rPr>
        <w:t>העונש המוסכם 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מאסר בפועל למשך שבע שנים ומחצה</w:t>
      </w:r>
      <w:r>
        <w:rPr>
          <w:rtl w:val="true"/>
        </w:rPr>
        <w:t xml:space="preserve">, </w:t>
      </w:r>
      <w:r>
        <w:rPr>
          <w:rtl w:val="true"/>
        </w:rPr>
        <w:t>וכן עונש נוסף ביחס לעבירות המצורפות</w:t>
      </w:r>
      <w:r>
        <w:rPr>
          <w:rtl w:val="true"/>
        </w:rPr>
        <w:t xml:space="preserve">, </w:t>
      </w:r>
      <w:r>
        <w:rPr>
          <w:rtl w:val="true"/>
        </w:rPr>
        <w:t>שכזכור הסדר הטיעון אינו מתיחס אליהן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נוכח חומרת עבירות הירי</w:t>
      </w:r>
      <w:r>
        <w:rPr>
          <w:rtl w:val="true"/>
        </w:rPr>
        <w:t xml:space="preserve">, </w:t>
      </w:r>
      <w:r>
        <w:rPr>
          <w:rtl w:val="true"/>
        </w:rPr>
        <w:t xml:space="preserve">ובהיותן מבטאות </w:t>
      </w:r>
      <w:r>
        <w:rPr>
          <w:rtl w:val="true"/>
        </w:rPr>
        <w:t xml:space="preserve">- </w:t>
      </w:r>
      <w:r>
        <w:rPr>
          <w:rtl w:val="true"/>
        </w:rPr>
        <w:t xml:space="preserve">כך על פי הטענה </w:t>
      </w:r>
      <w:r>
        <w:rPr>
          <w:rtl w:val="true"/>
        </w:rPr>
        <w:t xml:space="preserve">- </w:t>
      </w:r>
      <w:r>
        <w:rPr>
          <w:rtl w:val="true"/>
        </w:rPr>
        <w:t xml:space="preserve">את תופעת </w:t>
      </w:r>
      <w:r>
        <w:rPr>
          <w:rtl w:val="true"/>
        </w:rPr>
        <w:t>"</w:t>
      </w:r>
      <w:r>
        <w:rPr>
          <w:rtl w:val="true"/>
        </w:rPr>
        <w:t>מלחמת הכנופיות</w:t>
      </w:r>
      <w:r>
        <w:rPr>
          <w:rtl w:val="true"/>
        </w:rPr>
        <w:t xml:space="preserve">", </w:t>
      </w:r>
      <w:r>
        <w:rPr>
          <w:rtl w:val="true"/>
        </w:rPr>
        <w:t>שפשטה בארץ בכלל</w:t>
      </w:r>
      <w:r>
        <w:rPr>
          <w:rtl w:val="true"/>
        </w:rPr>
        <w:t xml:space="preserve">, </w:t>
      </w:r>
      <w:r>
        <w:rPr>
          <w:rtl w:val="true"/>
        </w:rPr>
        <w:t xml:space="preserve">ובתוך זה </w:t>
      </w:r>
      <w:r>
        <w:rPr>
          <w:rtl w:val="true"/>
        </w:rPr>
        <w:t xml:space="preserve">- </w:t>
      </w:r>
      <w:r>
        <w:rPr>
          <w:rtl w:val="true"/>
        </w:rPr>
        <w:t xml:space="preserve">ועל כך מושם הדגש בעניננו </w:t>
      </w:r>
      <w:r>
        <w:rPr>
          <w:rtl w:val="true"/>
        </w:rPr>
        <w:t xml:space="preserve">- </w:t>
      </w:r>
      <w:r>
        <w:rPr>
          <w:rtl w:val="true"/>
        </w:rPr>
        <w:t>בעיר אשקלון</w:t>
      </w:r>
      <w:r>
        <w:rPr>
          <w:rtl w:val="true"/>
        </w:rPr>
        <w:t xml:space="preserve">, </w:t>
      </w:r>
      <w:r>
        <w:rPr>
          <w:rtl w:val="true"/>
        </w:rPr>
        <w:t>ובמיוחד בתקופה הרלוונטית לביצוע העבירות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וכי יש ללחום בתופעה זו באמצעות ענישה מחמירה ומרתעת</w:t>
      </w:r>
      <w:r>
        <w:rPr>
          <w:rtl w:val="true"/>
        </w:rPr>
        <w:t xml:space="preserve">, </w:t>
      </w:r>
      <w:r>
        <w:rPr>
          <w:rtl w:val="true"/>
        </w:rPr>
        <w:t>שתביא למיגורה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tl w:val="true"/>
        </w:rPr>
        <w:t xml:space="preserve">, </w:t>
      </w:r>
      <w:r>
        <w:rPr>
          <w:rtl w:val="true"/>
        </w:rPr>
        <w:t>לצימצומה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ביקשו הנאשם וסניגורו שלא להחמיר עם הנאשם ושלא למצות עימו את מלוא תקרת תקופת המאסר האמורה</w:t>
      </w:r>
      <w:r>
        <w:rPr>
          <w:rtl w:val="true"/>
        </w:rPr>
        <w:t xml:space="preserve">, </w:t>
      </w:r>
      <w:r>
        <w:rPr>
          <w:rtl w:val="true"/>
        </w:rPr>
        <w:t>אף כי אין הסניגור מתעלם מכך שמדובר בעבירות חמורות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להסתפק בעונש קל יותר </w:t>
      </w:r>
      <w:r>
        <w:rPr>
          <w:rtl w:val="true"/>
        </w:rPr>
        <w:t xml:space="preserve">- </w:t>
      </w:r>
      <w:r>
        <w:rPr>
          <w:rtl w:val="true"/>
        </w:rPr>
        <w:t xml:space="preserve">גם אם הוא עולה כדי </w:t>
      </w:r>
      <w:r>
        <w:rPr>
          <w:u w:val="single"/>
          <w:rtl w:val="true"/>
        </w:rPr>
        <w:t>מרבית</w:t>
      </w:r>
      <w:r>
        <w:rPr>
          <w:rtl w:val="true"/>
        </w:rPr>
        <w:t xml:space="preserve"> התקופה האמורה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 הן בנסיבותיו האישיות של הנאשם והן במניעים שהניעוהו לבצע את העבירות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לטענת הנאשם  </w:t>
      </w:r>
      <w:r>
        <w:rPr>
          <w:rtl w:val="true"/>
        </w:rPr>
        <w:t xml:space="preserve">- </w:t>
      </w:r>
      <w:r>
        <w:rPr>
          <w:rtl w:val="true"/>
        </w:rPr>
        <w:t xml:space="preserve">ובהתיחס לעבירת הירי כלפי דואני </w:t>
      </w:r>
      <w:r>
        <w:rPr>
          <w:rtl w:val="true"/>
        </w:rPr>
        <w:t xml:space="preserve">- </w:t>
      </w:r>
      <w:r>
        <w:rPr>
          <w:rtl w:val="true"/>
        </w:rPr>
        <w:t>הרי שאין מדובר ב</w:t>
      </w:r>
      <w:r>
        <w:rPr>
          <w:rtl w:val="true"/>
        </w:rPr>
        <w:t>"</w:t>
      </w:r>
      <w:r>
        <w:rPr>
          <w:rtl w:val="true"/>
        </w:rPr>
        <w:t>מלחמת כנופיות</w:t>
      </w:r>
      <w:r>
        <w:rPr>
          <w:rtl w:val="true"/>
        </w:rPr>
        <w:t xml:space="preserve">", </w:t>
      </w:r>
      <w:r>
        <w:rPr>
          <w:rtl w:val="true"/>
        </w:rPr>
        <w:t xml:space="preserve">וכי היריבות בינו לבין דואני הינה אישית ונוצרה על רקע זה שאותו דואני נהג לספק סמים לחברתו של הנאשם לחיים </w:t>
      </w:r>
      <w:r>
        <w:rPr>
          <w:rtl w:val="true"/>
        </w:rPr>
        <w:t>(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דשטי שממנה גם נולד לו בן</w:t>
      </w:r>
      <w:r>
        <w:rPr>
          <w:rtl w:val="true"/>
        </w:rPr>
        <w:t xml:space="preserve">, </w:t>
      </w:r>
      <w:r>
        <w:rPr>
          <w:rtl w:val="true"/>
        </w:rPr>
        <w:t xml:space="preserve">שהיום הינו בגיל </w:t>
      </w:r>
      <w:r>
        <w:rPr/>
        <w:t>8.5</w:t>
      </w:r>
      <w:r>
        <w:rPr>
          <w:rtl w:val="true"/>
        </w:rPr>
        <w:t xml:space="preserve">), </w:t>
      </w:r>
      <w:r>
        <w:rPr>
          <w:rtl w:val="true"/>
        </w:rPr>
        <w:t>וזאת ביקש  הנאשם למנוע מדואני</w:t>
      </w:r>
      <w:r>
        <w:rPr>
          <w:rtl w:val="true"/>
        </w:rPr>
        <w:t xml:space="preserve">, </w:t>
      </w:r>
      <w:r>
        <w:rPr>
          <w:rtl w:val="true"/>
        </w:rPr>
        <w:t>כדי למנוע הידרדרותה של אותה חברה לעולם הסמים</w:t>
      </w:r>
      <w:r>
        <w:rPr>
          <w:rtl w:val="true"/>
        </w:rPr>
        <w:t xml:space="preserve">. </w:t>
      </w:r>
      <w:r>
        <w:rPr>
          <w:rtl w:val="true"/>
        </w:rPr>
        <w:t>אולם דואני לא שעה לנאשם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טוען הנאשם</w:t>
      </w:r>
      <w:r>
        <w:rPr>
          <w:rtl w:val="true"/>
        </w:rPr>
        <w:t xml:space="preserve">, </w:t>
      </w:r>
      <w:r>
        <w:rPr>
          <w:rtl w:val="true"/>
        </w:rPr>
        <w:t>כי היה מאויים על ידי דואני</w:t>
      </w:r>
      <w:r>
        <w:rPr>
          <w:rtl w:val="true"/>
        </w:rPr>
        <w:t xml:space="preserve">, </w:t>
      </w:r>
      <w:r>
        <w:rPr>
          <w:rtl w:val="true"/>
        </w:rPr>
        <w:t>שאף חתך אותו בסכין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לפני אירוע הירי האמור</w:t>
      </w:r>
      <w:r>
        <w:rPr>
          <w:rtl w:val="true"/>
        </w:rPr>
        <w:t xml:space="preserve">, </w:t>
      </w:r>
      <w:r>
        <w:rPr>
          <w:rtl w:val="true"/>
        </w:rPr>
        <w:t>וגם ביום הירי עצמו הקדים דואני ודקר אותו שתי דקירות</w:t>
      </w:r>
      <w:r>
        <w:rPr>
          <w:rtl w:val="true"/>
        </w:rPr>
        <w:t xml:space="preserve">, </w:t>
      </w:r>
      <w:r>
        <w:rPr>
          <w:rtl w:val="true"/>
        </w:rPr>
        <w:t xml:space="preserve">ועל כן </w:t>
      </w:r>
      <w:r>
        <w:rPr>
          <w:rtl w:val="true"/>
        </w:rPr>
        <w:t xml:space="preserve">- </w:t>
      </w:r>
      <w:r>
        <w:rPr>
          <w:rtl w:val="true"/>
        </w:rPr>
        <w:t xml:space="preserve">כך לטענת הנאשם </w:t>
      </w:r>
      <w:r>
        <w:rPr>
          <w:rtl w:val="true"/>
        </w:rPr>
        <w:t xml:space="preserve">- </w:t>
      </w:r>
      <w:r>
        <w:rPr>
          <w:rtl w:val="true"/>
        </w:rPr>
        <w:t>לא נותרה בידו ברירה אלא להשיב מלחמה השערה</w:t>
      </w:r>
      <w:r>
        <w:rPr>
          <w:rtl w:val="true"/>
        </w:rPr>
        <w:t xml:space="preserve">, </w:t>
      </w:r>
      <w:r>
        <w:rPr>
          <w:rtl w:val="true"/>
        </w:rPr>
        <w:t>כדי להרתיע את דואני ולרסנו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באשר לירי לעבר טולדאנו </w:t>
      </w:r>
      <w:r>
        <w:rPr>
          <w:rtl w:val="true"/>
        </w:rPr>
        <w:t xml:space="preserve">- </w:t>
      </w:r>
      <w:r>
        <w:rPr>
          <w:rtl w:val="true"/>
        </w:rPr>
        <w:t>טוען הנאשם</w:t>
      </w:r>
      <w:r>
        <w:rPr>
          <w:rtl w:val="true"/>
        </w:rPr>
        <w:t xml:space="preserve">, </w:t>
      </w:r>
      <w:r>
        <w:rPr>
          <w:rtl w:val="true"/>
        </w:rPr>
        <w:t>כי עשה כן בשליחותו של אופיר</w:t>
      </w:r>
      <w:r>
        <w:rPr>
          <w:rtl w:val="true"/>
        </w:rPr>
        <w:t xml:space="preserve">, </w:t>
      </w:r>
      <w:r>
        <w:rPr>
          <w:rtl w:val="true"/>
        </w:rPr>
        <w:t>ובלית ברירה</w:t>
      </w:r>
      <w:r>
        <w:rPr>
          <w:rtl w:val="true"/>
        </w:rPr>
        <w:t xml:space="preserve">, </w:t>
      </w:r>
      <w:r>
        <w:rPr>
          <w:rtl w:val="true"/>
        </w:rPr>
        <w:t>עקב לחציו של זה האחרון ושידוליו האינטנסיביים ומחשש כי יבולע לו אם לא ימלא אחר השליחות והמשימה שאופיר זה הטיל עליו</w:t>
      </w:r>
      <w:r>
        <w:rPr>
          <w:rtl w:val="true"/>
        </w:rPr>
        <w:t xml:space="preserve">. </w:t>
      </w:r>
      <w:r>
        <w:rPr>
          <w:rtl w:val="true"/>
        </w:rPr>
        <w:t>מוסיף הנאשם וטוען כי גם מהקלטות ותמליליהן</w:t>
      </w:r>
      <w:r>
        <w:rPr>
          <w:rtl w:val="true"/>
        </w:rPr>
        <w:t xml:space="preserve">, </w:t>
      </w:r>
      <w:r>
        <w:rPr>
          <w:rtl w:val="true"/>
        </w:rPr>
        <w:t>שבהן תועדו השיחות בינו לבין אופיר</w:t>
      </w:r>
      <w:r>
        <w:rPr>
          <w:rtl w:val="true"/>
        </w:rPr>
        <w:t xml:space="preserve">, </w:t>
      </w:r>
      <w:r>
        <w:rPr>
          <w:rtl w:val="true"/>
        </w:rPr>
        <w:t xml:space="preserve">בהיות זה במעצר </w:t>
      </w:r>
      <w:r>
        <w:rPr>
          <w:rtl w:val="true"/>
        </w:rPr>
        <w:t>(</w:t>
      </w:r>
      <w:r>
        <w:rPr>
          <w:rtl w:val="true"/>
        </w:rPr>
        <w:t>ואשר הוגשו לבית המשפט כראיה</w:t>
      </w:r>
      <w:r>
        <w:rPr>
          <w:rtl w:val="true"/>
        </w:rPr>
        <w:t xml:space="preserve">) </w:t>
      </w:r>
      <w:r>
        <w:rPr>
          <w:rtl w:val="true"/>
        </w:rPr>
        <w:t>ואשר בהן דובר על תכנון ירי זה</w:t>
      </w:r>
      <w:r>
        <w:rPr>
          <w:rtl w:val="true"/>
        </w:rPr>
        <w:t xml:space="preserve">, </w:t>
      </w:r>
      <w:r>
        <w:rPr>
          <w:rtl w:val="true"/>
        </w:rPr>
        <w:t>ניתן להיווכח כי אופיר לחץ עליו ולא חדל מלשדלו לבצע את הירי</w:t>
      </w:r>
      <w:r>
        <w:rPr>
          <w:rtl w:val="true"/>
        </w:rPr>
        <w:t xml:space="preserve">, </w:t>
      </w:r>
      <w:r>
        <w:rPr>
          <w:rtl w:val="true"/>
        </w:rPr>
        <w:t xml:space="preserve">וכשהוא </w:t>
      </w:r>
      <w:r>
        <w:rPr>
          <w:rtl w:val="true"/>
        </w:rPr>
        <w:t xml:space="preserve">- </w:t>
      </w:r>
      <w:r>
        <w:rPr>
          <w:rtl w:val="true"/>
        </w:rPr>
        <w:t xml:space="preserve">הנאשם </w:t>
      </w:r>
      <w:r>
        <w:rPr>
          <w:rtl w:val="true"/>
        </w:rPr>
        <w:t xml:space="preserve">- </w:t>
      </w:r>
      <w:r>
        <w:rPr>
          <w:rtl w:val="true"/>
        </w:rPr>
        <w:t>מנסה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להתחמק מביצוע המשימה ודוחה את ביצועה</w:t>
      </w:r>
      <w:r>
        <w:rPr>
          <w:rtl w:val="true"/>
        </w:rPr>
        <w:t xml:space="preserve">, </w:t>
      </w:r>
      <w:r>
        <w:rPr>
          <w:rtl w:val="true"/>
        </w:rPr>
        <w:t>באמתלאות שונות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מוסיף הנאשם ואף מפנה אצבע מאשימה כלפי המשטרה על כי ידעה על משימה מתוכננת זו</w:t>
      </w:r>
      <w:r>
        <w:rPr>
          <w:rtl w:val="true"/>
        </w:rPr>
        <w:t xml:space="preserve">, </w:t>
      </w:r>
      <w:r>
        <w:rPr>
          <w:rtl w:val="true"/>
        </w:rPr>
        <w:t>מתוך האזנה לאותן שיחות</w:t>
      </w:r>
      <w:r>
        <w:rPr>
          <w:rtl w:val="true"/>
        </w:rPr>
        <w:t xml:space="preserve">, </w:t>
      </w:r>
      <w:r>
        <w:rPr>
          <w:rtl w:val="true"/>
        </w:rPr>
        <w:t>ולא עשתה דבר למניעת הוצאתה לפועל</w:t>
      </w:r>
      <w:r>
        <w:rPr>
          <w:rtl w:val="true"/>
        </w:rPr>
        <w:t xml:space="preserve">, </w:t>
      </w:r>
      <w:r>
        <w:rPr>
          <w:rtl w:val="true"/>
        </w:rPr>
        <w:t>ואפילו באמצעות מעצר מנע של הנאשם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אליבא דידי</w:t>
      </w:r>
      <w:r>
        <w:rPr>
          <w:rtl w:val="true"/>
        </w:rPr>
        <w:t xml:space="preserve">, </w:t>
      </w:r>
      <w:r>
        <w:rPr>
          <w:rtl w:val="true"/>
        </w:rPr>
        <w:t>אין ספק שמדובר בעבירות חמורות ביותר</w:t>
      </w:r>
      <w:r>
        <w:rPr>
          <w:rtl w:val="true"/>
        </w:rPr>
        <w:t xml:space="preserve">, </w:t>
      </w:r>
      <w:r>
        <w:rPr>
          <w:rtl w:val="true"/>
        </w:rPr>
        <w:t>ואף אם הן לא בוצעו על רקע</w:t>
      </w:r>
      <w:r>
        <w:rPr>
          <w:rtl w:val="true"/>
        </w:rPr>
        <w:t xml:space="preserve">, </w:t>
      </w:r>
      <w:r>
        <w:rPr>
          <w:rtl w:val="true"/>
        </w:rPr>
        <w:t>מה שמכנה ב</w:t>
      </w:r>
      <w:r>
        <w:rPr>
          <w:rtl w:val="true"/>
        </w:rPr>
        <w:t>"</w:t>
      </w:r>
      <w:r>
        <w:rPr>
          <w:rtl w:val="true"/>
        </w:rPr>
        <w:t>כ  המדינה</w:t>
      </w:r>
      <w:r>
        <w:rPr>
          <w:rtl w:val="true"/>
        </w:rPr>
        <w:t>, "</w:t>
      </w:r>
      <w:r>
        <w:rPr>
          <w:rtl w:val="true"/>
        </w:rPr>
        <w:t>מלחמת כנפויות</w:t>
      </w:r>
      <w:r>
        <w:rPr>
          <w:rtl w:val="true"/>
        </w:rPr>
        <w:t>".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וכפי שהעיד בפני רכז המודיעין במשטרת אשקלון </w:t>
      </w:r>
      <w:r>
        <w:rPr>
          <w:rtl w:val="true"/>
        </w:rPr>
        <w:t xml:space="preserve">-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b/>
          <w:b/>
          <w:bCs/>
          <w:rtl w:val="true"/>
        </w:rPr>
        <w:t>אליעזר בוסקילה</w:t>
      </w:r>
      <w:r>
        <w:rPr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שזומן כעד הגנה על ידי הנאשם במסגרת הטיעונים לעונש</w:t>
      </w:r>
      <w:r>
        <w:rPr>
          <w:rtl w:val="true"/>
        </w:rPr>
        <w:t xml:space="preserve">), </w:t>
      </w:r>
      <w:r>
        <w:rPr>
          <w:rtl w:val="true"/>
        </w:rPr>
        <w:t xml:space="preserve">אמנם מכת </w:t>
      </w:r>
      <w:r>
        <w:rPr>
          <w:rtl w:val="true"/>
        </w:rPr>
        <w:t>"</w:t>
      </w:r>
      <w:r>
        <w:rPr>
          <w:rtl w:val="true"/>
        </w:rPr>
        <w:t>מלחמת הכנופיות</w:t>
      </w:r>
      <w:r>
        <w:rPr>
          <w:rtl w:val="true"/>
        </w:rPr>
        <w:t xml:space="preserve">" </w:t>
      </w:r>
      <w:r>
        <w:rPr>
          <w:rtl w:val="true"/>
        </w:rPr>
        <w:t>בעיר אשקלון</w:t>
      </w:r>
      <w:r>
        <w:rPr>
          <w:rtl w:val="true"/>
        </w:rPr>
        <w:t xml:space="preserve">, </w:t>
      </w:r>
      <w:r>
        <w:rPr>
          <w:rtl w:val="true"/>
        </w:rPr>
        <w:t>תוך שימוש בנשק חם</w:t>
      </w:r>
      <w:r>
        <w:rPr>
          <w:rtl w:val="true"/>
        </w:rPr>
        <w:t xml:space="preserve">, </w:t>
      </w:r>
      <w:r>
        <w:rPr>
          <w:rtl w:val="true"/>
        </w:rPr>
        <w:t xml:space="preserve">הפכה לתופעה נרחבת בשנים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97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 שוכנעתי</w:t>
      </w:r>
      <w:r>
        <w:rPr>
          <w:rtl w:val="true"/>
        </w:rPr>
        <w:t xml:space="preserve">, </w:t>
      </w:r>
      <w:r>
        <w:rPr>
          <w:rtl w:val="true"/>
        </w:rPr>
        <w:t xml:space="preserve">לחלוטין </w:t>
      </w:r>
      <w:r>
        <w:rPr>
          <w:rtl w:val="true"/>
        </w:rPr>
        <w:t xml:space="preserve">- </w:t>
      </w:r>
      <w:r>
        <w:rPr>
          <w:rtl w:val="true"/>
        </w:rPr>
        <w:t>ולפחות</w:t>
      </w:r>
      <w:r>
        <w:rPr>
          <w:rtl w:val="true"/>
        </w:rPr>
        <w:t xml:space="preserve">, </w:t>
      </w:r>
      <w:r>
        <w:rPr>
          <w:rtl w:val="true"/>
        </w:rPr>
        <w:t xml:space="preserve">לא ביחס לעבירת הירי כלפי דואני </w:t>
      </w:r>
      <w:r>
        <w:rPr>
          <w:rtl w:val="true"/>
        </w:rPr>
        <w:t xml:space="preserve">- </w:t>
      </w:r>
      <w:r>
        <w:rPr>
          <w:rtl w:val="true"/>
        </w:rPr>
        <w:t>כי זו אמנם</w:t>
      </w:r>
      <w:r>
        <w:rPr>
          <w:rtl w:val="true"/>
        </w:rPr>
        <w:t xml:space="preserve">, </w:t>
      </w:r>
      <w:r>
        <w:rPr>
          <w:rtl w:val="true"/>
        </w:rPr>
        <w:t xml:space="preserve">בוצעה במסגרת אותה </w:t>
      </w:r>
      <w:r>
        <w:rPr>
          <w:rtl w:val="true"/>
        </w:rPr>
        <w:t>"</w:t>
      </w:r>
      <w:r>
        <w:rPr>
          <w:rtl w:val="true"/>
        </w:rPr>
        <w:t>מלחמת כנופיות</w:t>
      </w:r>
      <w:r>
        <w:rPr>
          <w:rtl w:val="true"/>
        </w:rPr>
        <w:t xml:space="preserve">", </w:t>
      </w:r>
      <w:r>
        <w:rPr>
          <w:rtl w:val="true"/>
        </w:rPr>
        <w:t>כשם שלא הוברר די הצורך כי גם מבחינת המניעים של אותו אופיר לפגוע בטולדאנו היו אלה על רקע תופעה זו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בדברים אלה לא באתי להקהות</w:t>
      </w:r>
      <w:r>
        <w:rPr>
          <w:rtl w:val="true"/>
        </w:rPr>
        <w:t xml:space="preserve">, </w:t>
      </w:r>
      <w:r>
        <w:rPr>
          <w:rtl w:val="true"/>
        </w:rPr>
        <w:t>כהוא זה</w:t>
      </w:r>
      <w:r>
        <w:rPr>
          <w:rtl w:val="true"/>
        </w:rPr>
        <w:t xml:space="preserve">, </w:t>
      </w:r>
      <w:r>
        <w:rPr>
          <w:rtl w:val="true"/>
        </w:rPr>
        <w:t>מחומרת העבירות שביצע הנאשם כלפי דואני וטולדאנו</w:t>
      </w:r>
      <w:r>
        <w:rPr>
          <w:rtl w:val="true"/>
        </w:rPr>
        <w:t xml:space="preserve">, </w:t>
      </w:r>
      <w:r>
        <w:rPr>
          <w:rtl w:val="true"/>
        </w:rPr>
        <w:t>משמבטאות הן את התופעה הנפסדת</w:t>
      </w:r>
      <w:r>
        <w:rPr>
          <w:rtl w:val="true"/>
        </w:rPr>
        <w:t xml:space="preserve">, </w:t>
      </w:r>
      <w:r>
        <w:rPr>
          <w:rtl w:val="true"/>
        </w:rPr>
        <w:t>והחמורה לא פחות</w:t>
      </w:r>
      <w:r>
        <w:rPr>
          <w:rtl w:val="true"/>
        </w:rPr>
        <w:t xml:space="preserve">, </w:t>
      </w:r>
      <w:r>
        <w:rPr>
          <w:rtl w:val="true"/>
        </w:rPr>
        <w:t xml:space="preserve">של </w:t>
      </w:r>
      <w:r>
        <w:rPr>
          <w:rtl w:val="true"/>
        </w:rPr>
        <w:t>"</w:t>
      </w:r>
      <w:r>
        <w:rPr>
          <w:rtl w:val="true"/>
        </w:rPr>
        <w:t>חיסול חשבונות</w:t>
      </w:r>
      <w:r>
        <w:rPr>
          <w:rtl w:val="true"/>
        </w:rPr>
        <w:t xml:space="preserve">" </w:t>
      </w:r>
      <w:r>
        <w:rPr>
          <w:rtl w:val="true"/>
        </w:rPr>
        <w:t>בין יריבים בעולם העברייני</w:t>
      </w:r>
      <w:r>
        <w:rPr>
          <w:rtl w:val="true"/>
        </w:rPr>
        <w:t xml:space="preserve">, </w:t>
      </w:r>
      <w:r>
        <w:rPr>
          <w:rtl w:val="true"/>
        </w:rPr>
        <w:t>על רקע זה או אחר</w:t>
      </w:r>
      <w:r>
        <w:rPr>
          <w:rtl w:val="true"/>
        </w:rPr>
        <w:t xml:space="preserve">, </w:t>
      </w:r>
      <w:r>
        <w:rPr>
          <w:rtl w:val="true"/>
        </w:rPr>
        <w:t>תוך שימוש בנשק חם אותו משיגים אותם עבריינים בדרכים בלתי חוקיות</w:t>
      </w:r>
      <w:r>
        <w:rPr>
          <w:rtl w:val="true"/>
        </w:rPr>
        <w:t xml:space="preserve">, </w:t>
      </w:r>
      <w:r>
        <w:rPr>
          <w:rtl w:val="true"/>
        </w:rPr>
        <w:t>ותוך שהם עושים דין לעצמם</w:t>
      </w:r>
      <w:r>
        <w:rPr>
          <w:rtl w:val="true"/>
        </w:rPr>
        <w:t xml:space="preserve">, </w:t>
      </w:r>
      <w:r>
        <w:rPr>
          <w:rtl w:val="true"/>
        </w:rPr>
        <w:t xml:space="preserve">משל </w:t>
      </w:r>
      <w:r>
        <w:rPr>
          <w:rtl w:val="true"/>
        </w:rPr>
        <w:t>"</w:t>
      </w:r>
      <w:r>
        <w:rPr>
          <w:rtl w:val="true"/>
        </w:rPr>
        <w:t>לית דין ולית דיין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איש הישר בעיניו יעשה</w:t>
      </w:r>
      <w:r>
        <w:rPr>
          <w:rtl w:val="true"/>
        </w:rPr>
        <w:t xml:space="preserve">", </w:t>
      </w:r>
      <w:r>
        <w:rPr>
          <w:rtl w:val="true"/>
        </w:rPr>
        <w:t xml:space="preserve">כשהיד קלה על ההדק וכשחיי אדם או שלמות גופו אינם נחשבים בעיניהם אף כקליפת השום </w:t>
      </w:r>
      <w:r>
        <w:rPr>
          <w:rtl w:val="true"/>
        </w:rPr>
        <w:t xml:space="preserve">- </w:t>
      </w:r>
      <w:r>
        <w:rPr>
          <w:rtl w:val="true"/>
        </w:rPr>
        <w:t>וכדי בזיון וקצף לחברה מתוקנת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>עם תופעה זו</w:t>
      </w:r>
      <w:r>
        <w:rPr>
          <w:rtl w:val="true"/>
        </w:rPr>
        <w:t xml:space="preserve">, </w:t>
      </w:r>
      <w:r>
        <w:rPr>
          <w:rtl w:val="true"/>
        </w:rPr>
        <w:t>הגובלת באנרכיה</w:t>
      </w:r>
      <w:r>
        <w:rPr>
          <w:rtl w:val="true"/>
        </w:rPr>
        <w:t xml:space="preserve">, </w:t>
      </w:r>
      <w:r>
        <w:rPr>
          <w:rtl w:val="true"/>
        </w:rPr>
        <w:t>ואשר פשטה למימדים מדאיגים בחברתינו</w:t>
      </w:r>
      <w:r>
        <w:rPr>
          <w:rtl w:val="true"/>
        </w:rPr>
        <w:t xml:space="preserve">, </w:t>
      </w:r>
      <w:r>
        <w:rPr>
          <w:rtl w:val="true"/>
        </w:rPr>
        <w:t>אין שום חברה החיה במשטר תקין יכולה</w:t>
      </w:r>
      <w:r>
        <w:rPr>
          <w:rtl w:val="true"/>
        </w:rPr>
        <w:t xml:space="preserve">, </w:t>
      </w:r>
      <w:r>
        <w:rPr>
          <w:rtl w:val="true"/>
        </w:rPr>
        <w:t>או רשאית להרשות לעצמה</w:t>
      </w:r>
      <w:r>
        <w:rPr>
          <w:rtl w:val="true"/>
        </w:rPr>
        <w:t xml:space="preserve">, </w:t>
      </w:r>
      <w:r>
        <w:rPr>
          <w:rtl w:val="true"/>
        </w:rPr>
        <w:t>להשלים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יש להאבק במלוא העוז ובדרכים החוקיות</w:t>
      </w:r>
      <w:r>
        <w:rPr>
          <w:rtl w:val="true"/>
        </w:rPr>
        <w:t xml:space="preserve">, </w:t>
      </w:r>
      <w:r>
        <w:rPr>
          <w:rtl w:val="true"/>
        </w:rPr>
        <w:t>בנגע ממאיר זה ולקדש עליו מלחמה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בעזרת הגורמים המופקדים על השלטת הסדר והחוק במדינה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>בתי המשפט</w:t>
      </w:r>
      <w:r>
        <w:rPr>
          <w:rtl w:val="true"/>
        </w:rPr>
        <w:t xml:space="preserve">, </w:t>
      </w:r>
      <w:r>
        <w:rPr>
          <w:rtl w:val="true"/>
        </w:rPr>
        <w:t>באמצעות ענישה מחמירה ומרתעת</w:t>
      </w:r>
      <w:r>
        <w:rPr>
          <w:rtl w:val="true"/>
        </w:rPr>
        <w:t xml:space="preserve">, </w:t>
      </w:r>
      <w:r>
        <w:rPr>
          <w:rtl w:val="true"/>
        </w:rPr>
        <w:t>שתכליתה למגר את התופעה האמורה או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לצמצם את מימדיה למינימום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כל מי שעושה דין לעצמו ומחסל חשבונות בעצמו עם יריביו </w:t>
      </w:r>
      <w:r>
        <w:rPr>
          <w:rtl w:val="true"/>
        </w:rPr>
        <w:t>(</w:t>
      </w:r>
      <w:r>
        <w:rPr>
          <w:rtl w:val="true"/>
        </w:rPr>
        <w:t>וגם אם אף אלה אינם נמנים עם ל</w:t>
      </w:r>
      <w:r>
        <w:rPr>
          <w:rtl w:val="true"/>
        </w:rPr>
        <w:t>"</w:t>
      </w:r>
      <w:r>
        <w:rPr>
          <w:rtl w:val="true"/>
        </w:rPr>
        <w:t>ו הצדיקים</w:t>
      </w:r>
      <w:r>
        <w:rPr>
          <w:rtl w:val="true"/>
        </w:rPr>
        <w:t xml:space="preserve">) </w:t>
      </w:r>
      <w:r>
        <w:rPr>
          <w:rtl w:val="true"/>
        </w:rPr>
        <w:t xml:space="preserve">תוך שימוש באלימות מסוג כלשהי </w:t>
      </w:r>
      <w:r>
        <w:rPr>
          <w:rtl w:val="true"/>
        </w:rPr>
        <w:t xml:space="preserve">- </w:t>
      </w:r>
      <w:r>
        <w:rPr>
          <w:rtl w:val="true"/>
        </w:rPr>
        <w:t xml:space="preserve">ומקל וחומר באלימות חמורה מסוג זה הנדון </w:t>
      </w:r>
      <w:r>
        <w:rPr>
          <w:rtl w:val="true"/>
        </w:rPr>
        <w:t xml:space="preserve">- </w:t>
      </w:r>
      <w:r>
        <w:rPr>
          <w:rtl w:val="true"/>
        </w:rPr>
        <w:t>לידע ולהיוודע כי אית דין ואית דיין במדינתנו</w:t>
      </w:r>
      <w:r>
        <w:rPr>
          <w:rtl w:val="true"/>
        </w:rPr>
        <w:t xml:space="preserve">, </w:t>
      </w:r>
      <w:r>
        <w:rPr>
          <w:rtl w:val="true"/>
        </w:rPr>
        <w:t>ואם בחר לעשות דין לעצמו</w:t>
      </w:r>
      <w:r>
        <w:rPr>
          <w:rtl w:val="true"/>
        </w:rPr>
        <w:t xml:space="preserve">, </w:t>
      </w:r>
      <w:r>
        <w:rPr>
          <w:rtl w:val="true"/>
        </w:rPr>
        <w:t xml:space="preserve">ימוצה עימו </w:t>
      </w:r>
      <w:r>
        <w:rPr>
          <w:rtl w:val="true"/>
        </w:rPr>
        <w:t xml:space="preserve">- </w:t>
      </w:r>
      <w:r>
        <w:rPr>
          <w:rtl w:val="true"/>
        </w:rPr>
        <w:t xml:space="preserve">אף הוא </w:t>
      </w:r>
      <w:r>
        <w:rPr>
          <w:rtl w:val="true"/>
        </w:rPr>
        <w:t xml:space="preserve">- </w:t>
      </w:r>
      <w:r>
        <w:rPr>
          <w:rtl w:val="true"/>
        </w:rPr>
        <w:t>דין האמת לאמיתו</w:t>
      </w:r>
      <w:r>
        <w:rPr>
          <w:rtl w:val="true"/>
        </w:rPr>
        <w:t xml:space="preserve">, </w:t>
      </w:r>
      <w:r>
        <w:rPr>
          <w:rtl w:val="true"/>
        </w:rPr>
        <w:t>על ידי בתי המשפט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הדברים נכונים ויפים הם גם לנאשם דנן</w:t>
      </w:r>
      <w:r>
        <w:rPr>
          <w:rtl w:val="true"/>
        </w:rPr>
        <w:t xml:space="preserve">, </w:t>
      </w:r>
      <w:r>
        <w:rPr>
          <w:rtl w:val="true"/>
        </w:rPr>
        <w:t>שבמו פיו העלה על עצמו כי בביצוע הירי כלפי דואני ביקש לחסל עימו חשבון שנפתח 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קודם לכן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הוברר מהראיות שהוצגו בפני על ידי ההגנה </w:t>
      </w:r>
      <w:r>
        <w:rPr>
          <w:u w:val="single"/>
          <w:rtl w:val="true"/>
        </w:rPr>
        <w:t xml:space="preserve">בשלב הטיעונים לעונש 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ורק בשלב זה</w:t>
      </w:r>
      <w:r>
        <w:rPr>
          <w:rtl w:val="true"/>
        </w:rPr>
        <w:t xml:space="preserve">, </w:t>
      </w:r>
      <w:r>
        <w:rPr>
          <w:rtl w:val="true"/>
        </w:rPr>
        <w:t>משקודם לכן הכחיש הנאשם כל מעורבות בירי זה</w:t>
      </w:r>
      <w:r>
        <w:rPr>
          <w:rtl w:val="true"/>
        </w:rPr>
        <w:t xml:space="preserve">, </w:t>
      </w:r>
      <w:r>
        <w:rPr>
          <w:rtl w:val="true"/>
        </w:rPr>
        <w:t>ועל כן לא העז גם להעיד על התקרית הקודמת בה חתך אותו דואני</w:t>
      </w:r>
      <w:r>
        <w:rPr>
          <w:rtl w:val="true"/>
        </w:rPr>
        <w:t xml:space="preserve">, </w:t>
      </w:r>
      <w:r>
        <w:rPr>
          <w:rtl w:val="true"/>
        </w:rPr>
        <w:t xml:space="preserve">משבכך היה </w:t>
      </w:r>
      <w:r>
        <w:rPr>
          <w:rtl w:val="true"/>
        </w:rPr>
        <w:t>"</w:t>
      </w:r>
      <w:r>
        <w:rPr>
          <w:rtl w:val="true"/>
        </w:rPr>
        <w:t>תורם</w:t>
      </w:r>
      <w:r>
        <w:rPr>
          <w:rtl w:val="true"/>
        </w:rPr>
        <w:t xml:space="preserve">" </w:t>
      </w:r>
      <w:r>
        <w:rPr>
          <w:rtl w:val="true"/>
        </w:rPr>
        <w:t>לתביעה ראיה נוספת</w:t>
      </w:r>
      <w:r>
        <w:rPr>
          <w:rtl w:val="true"/>
        </w:rPr>
        <w:t xml:space="preserve">, </w:t>
      </w:r>
      <w:r>
        <w:rPr>
          <w:rtl w:val="true"/>
        </w:rPr>
        <w:t>לפחות מבחינת מניע</w:t>
      </w:r>
      <w:r>
        <w:rPr>
          <w:rtl w:val="true"/>
        </w:rPr>
        <w:t xml:space="preserve">) </w:t>
      </w:r>
      <w:r>
        <w:rPr>
          <w:rtl w:val="true"/>
        </w:rPr>
        <w:t>כי הנאשם אמנם נחתך חתך ארוך בבטנו</w:t>
      </w:r>
      <w:r>
        <w:rPr>
          <w:rtl w:val="true"/>
        </w:rPr>
        <w:t xml:space="preserve">, </w:t>
      </w:r>
      <w:r>
        <w:rPr>
          <w:rtl w:val="true"/>
        </w:rPr>
        <w:t xml:space="preserve">בחודש </w:t>
      </w:r>
      <w:r>
        <w:rPr>
          <w:b/>
          <w:bCs/>
        </w:rPr>
        <w:t>11/93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והוא אף אושפז בבית החולים ונפתחה חקירת משטרה אודות אירוע זה </w:t>
      </w:r>
      <w:r>
        <w:rPr>
          <w:rtl w:val="true"/>
        </w:rPr>
        <w:t>(</w:t>
      </w:r>
      <w:r>
        <w:rPr>
          <w:rtl w:val="true"/>
        </w:rPr>
        <w:t>ראה מוצג נ</w:t>
      </w:r>
      <w:r>
        <w:rPr>
          <w:rtl w:val="true"/>
        </w:rPr>
        <w:t xml:space="preserve">/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אולם הנאשם סירב לשתף פעולה בחקירתו ולומר מי הוא זה שחתכו בכלי המשחית</w:t>
      </w:r>
      <w:r>
        <w:rPr>
          <w:rtl w:val="true"/>
        </w:rPr>
        <w:t xml:space="preserve">, </w:t>
      </w:r>
      <w:r>
        <w:rPr>
          <w:rtl w:val="true"/>
        </w:rPr>
        <w:t>ורק עתה מבקש הוא לגלות אוזננו</w:t>
      </w:r>
      <w:r>
        <w:rPr>
          <w:rtl w:val="true"/>
        </w:rPr>
        <w:t xml:space="preserve">, </w:t>
      </w:r>
      <w:r>
        <w:rPr>
          <w:rtl w:val="true"/>
        </w:rPr>
        <w:t>כי היה זה דואני שביצע בו את המעשה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גם רכז המודיעין הנ</w:t>
      </w:r>
      <w:r>
        <w:rPr>
          <w:rtl w:val="true"/>
        </w:rPr>
        <w:t>"</w:t>
      </w:r>
      <w:r>
        <w:rPr>
          <w:rtl w:val="true"/>
        </w:rPr>
        <w:t>ל שהעיד בפני</w:t>
      </w:r>
      <w:r>
        <w:rPr>
          <w:rtl w:val="true"/>
        </w:rPr>
        <w:t xml:space="preserve">, </w:t>
      </w:r>
      <w:r>
        <w:rPr>
          <w:rtl w:val="true"/>
        </w:rPr>
        <w:t>אישר כי לידי המשטרה הגיע מידע מודיעיני בדבר מעורבותו של דואני במעשה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שבשל כך שהנאשם בחר למלא פיו מים</w:t>
      </w:r>
      <w:r>
        <w:rPr>
          <w:rtl w:val="true"/>
        </w:rPr>
        <w:t xml:space="preserve">, </w:t>
      </w:r>
      <w:r>
        <w:rPr>
          <w:rtl w:val="true"/>
        </w:rPr>
        <w:t>לא היו בידי המשטרה ראיות</w:t>
      </w:r>
      <w:r>
        <w:rPr>
          <w:rtl w:val="true"/>
        </w:rPr>
        <w:t xml:space="preserve">, </w:t>
      </w:r>
      <w:r>
        <w:rPr>
          <w:rtl w:val="true"/>
        </w:rPr>
        <w:t>ועל כן נסגר ונגנז תיק החקירה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ביטוי וסימפטום מובהק לנורמות הנפסדות המקובלות בעולם העברייני</w:t>
      </w:r>
      <w:r>
        <w:rPr>
          <w:rtl w:val="true"/>
        </w:rPr>
        <w:t xml:space="preserve">, </w:t>
      </w:r>
      <w:r>
        <w:rPr>
          <w:rtl w:val="true"/>
        </w:rPr>
        <w:t>כשאין איש מהם מעלה בדעתו להתלונן במשטרה נגד יריבו</w:t>
      </w:r>
      <w:r>
        <w:rPr>
          <w:rtl w:val="true"/>
        </w:rPr>
        <w:t>,</w:t>
      </w:r>
      <w:r>
        <w:rPr>
          <w:rtl w:val="true"/>
        </w:rPr>
        <w:t>ותחת זאת מחכה הוא לשעת כושר ל</w:t>
      </w:r>
      <w:r>
        <w:rPr>
          <w:rtl w:val="true"/>
        </w:rPr>
        <w:t>"</w:t>
      </w:r>
      <w:r>
        <w:rPr>
          <w:rtl w:val="true"/>
        </w:rPr>
        <w:t>סגור עימו חשבון</w:t>
      </w:r>
      <w:r>
        <w:rPr>
          <w:rtl w:val="true"/>
        </w:rPr>
        <w:t xml:space="preserve">", </w:t>
      </w:r>
      <w:r>
        <w:rPr>
          <w:rtl w:val="true"/>
        </w:rPr>
        <w:t>במו ידיו</w:t>
      </w:r>
      <w:r>
        <w:rPr>
          <w:rtl w:val="true"/>
        </w:rPr>
        <w:t>,</w:t>
      </w:r>
      <w:r>
        <w:rPr>
          <w:rtl w:val="true"/>
        </w:rPr>
        <w:t>וכך נגררים המעורבים לתגובה ולתגובה שכנגד</w:t>
      </w:r>
      <w:r>
        <w:rPr>
          <w:rtl w:val="true"/>
        </w:rPr>
        <w:t xml:space="preserve">, </w:t>
      </w:r>
      <w:r>
        <w:rPr>
          <w:rtl w:val="true"/>
        </w:rPr>
        <w:t>תוך הסלמה</w:t>
      </w:r>
      <w:r>
        <w:rPr>
          <w:rtl w:val="true"/>
        </w:rPr>
        <w:t xml:space="preserve">, </w:t>
      </w:r>
      <w:r>
        <w:rPr>
          <w:rtl w:val="true"/>
        </w:rPr>
        <w:t>שסופה מי ישורנו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 נכונים המה גם ביחס לאירוע הירי בטולדאנו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ייתכן </w:t>
      </w:r>
      <w:r>
        <w:rPr>
          <w:rtl w:val="true"/>
        </w:rPr>
        <w:t xml:space="preserve">- </w:t>
      </w:r>
      <w:r>
        <w:rPr>
          <w:rtl w:val="true"/>
        </w:rPr>
        <w:t xml:space="preserve">ואינני משוכנע בכך </w:t>
      </w:r>
      <w:r>
        <w:rPr>
          <w:rtl w:val="true"/>
        </w:rPr>
        <w:t xml:space="preserve">- </w:t>
      </w:r>
      <w:r>
        <w:rPr>
          <w:rtl w:val="true"/>
        </w:rPr>
        <w:t>שהנאשם אף לא ידע על שום ומה ולמה מבקש אותו אופיר לפגוע בטולדאנו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ספק שברור היה לנאשם כי אותו אופיר מבקש לחסל חשבון עם טולדאנו</w:t>
      </w:r>
      <w:r>
        <w:rPr>
          <w:rtl w:val="true"/>
        </w:rPr>
        <w:t xml:space="preserve">, </w:t>
      </w:r>
      <w:r>
        <w:rPr>
          <w:rtl w:val="true"/>
        </w:rPr>
        <w:t>על פי אותן נורמות נפסדות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 מחלוקת כי לנאשם לא היה כל סכסוך אישי או דין או דברים עם טולדאנו</w:t>
      </w:r>
      <w:r>
        <w:rPr>
          <w:rtl w:val="true"/>
        </w:rPr>
        <w:t xml:space="preserve">, </w:t>
      </w:r>
      <w:r>
        <w:rPr>
          <w:rtl w:val="true"/>
        </w:rPr>
        <w:t>וכי הוא שימש אך כשליחו של אופיר</w:t>
      </w:r>
      <w:r>
        <w:rPr>
          <w:rtl w:val="true"/>
        </w:rPr>
        <w:t xml:space="preserve">, </w:t>
      </w:r>
      <w:r>
        <w:rPr>
          <w:rtl w:val="true"/>
        </w:rPr>
        <w:t>שאכן שידל אותו</w:t>
      </w:r>
      <w:r>
        <w:rPr>
          <w:rtl w:val="true"/>
        </w:rPr>
        <w:t xml:space="preserve">,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לבצע את המעשה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בכך אין כדי לגרוע מחומרת מעשהו</w:t>
      </w:r>
      <w:r>
        <w:rPr>
          <w:rtl w:val="true"/>
        </w:rPr>
        <w:t xml:space="preserve">,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לא במידה משמעותית</w:t>
      </w:r>
      <w:r>
        <w:rPr>
          <w:rtl w:val="true"/>
        </w:rPr>
        <w:t xml:space="preserve">. </w:t>
      </w:r>
      <w:r>
        <w:rPr>
          <w:rtl w:val="true"/>
        </w:rPr>
        <w:t>יש לזכור כי אותו אופיר היה אותה עת במעצר עד תום ההליכים</w:t>
      </w:r>
      <w:r>
        <w:rPr>
          <w:rtl w:val="true"/>
        </w:rPr>
        <w:t xml:space="preserve">, </w:t>
      </w:r>
      <w:r>
        <w:rPr>
          <w:rtl w:val="true"/>
        </w:rPr>
        <w:t>וספק אם היה מצליח להוציא את זממו אל הפועל</w:t>
      </w:r>
      <w:r>
        <w:rPr>
          <w:rtl w:val="true"/>
        </w:rPr>
        <w:t xml:space="preserve">, </w:t>
      </w:r>
      <w:r>
        <w:rPr>
          <w:rtl w:val="true"/>
        </w:rPr>
        <w:t xml:space="preserve">אילמלא נתרצה הנאשם לבצע עבורו אותה </w:t>
      </w:r>
      <w:r>
        <w:rPr>
          <w:rtl w:val="true"/>
        </w:rPr>
        <w:t>"</w:t>
      </w:r>
      <w:r>
        <w:rPr>
          <w:rtl w:val="true"/>
        </w:rPr>
        <w:t>שליחות</w:t>
      </w:r>
      <w:r>
        <w:rPr>
          <w:rtl w:val="true"/>
        </w:rPr>
        <w:t>".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 משולים לאותו בלדר סמים</w:t>
      </w:r>
      <w:r>
        <w:rPr>
          <w:rtl w:val="true"/>
        </w:rPr>
        <w:t xml:space="preserve">, </w:t>
      </w:r>
      <w:r>
        <w:rPr>
          <w:rtl w:val="true"/>
        </w:rPr>
        <w:t>שעל פי הפסיקה יש להחמיר עימו</w:t>
      </w:r>
      <w:r>
        <w:rPr>
          <w:rtl w:val="true"/>
        </w:rPr>
        <w:t xml:space="preserve">, </w:t>
      </w:r>
      <w:r>
        <w:rPr>
          <w:rtl w:val="true"/>
        </w:rPr>
        <w:t xml:space="preserve">מאחר שאילמלא שיתוף הפעולה שלו עם העבריין העיקרי </w:t>
      </w:r>
      <w:r>
        <w:rPr>
          <w:rtl w:val="true"/>
        </w:rPr>
        <w:t xml:space="preserve">- </w:t>
      </w:r>
      <w:r>
        <w:rPr>
          <w:rtl w:val="true"/>
        </w:rPr>
        <w:t xml:space="preserve">בעל הסמים </w:t>
      </w:r>
      <w:r>
        <w:rPr>
          <w:rtl w:val="true"/>
        </w:rPr>
        <w:t xml:space="preserve">- </w:t>
      </w:r>
      <w:r>
        <w:rPr>
          <w:rtl w:val="true"/>
        </w:rPr>
        <w:t>לא היה זה האחרון מצליח</w:t>
      </w:r>
      <w:r>
        <w:rPr>
          <w:rtl w:val="true"/>
        </w:rPr>
        <w:t xml:space="preserve">, </w:t>
      </w:r>
      <w:r>
        <w:rPr>
          <w:rtl w:val="true"/>
        </w:rPr>
        <w:t>או לפחות מתמעטים היו סיכוייו</w:t>
      </w:r>
      <w:r>
        <w:rPr>
          <w:rtl w:val="true"/>
        </w:rPr>
        <w:t xml:space="preserve">, </w:t>
      </w:r>
      <w:r>
        <w:rPr>
          <w:rtl w:val="true"/>
        </w:rPr>
        <w:t>להחדיר סמים או לייבאם או להפיצם</w:t>
      </w:r>
      <w:r>
        <w:rPr>
          <w:rtl w:val="true"/>
        </w:rPr>
        <w:t xml:space="preserve">,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איני מוציא מכלל אפשרות סבירה כי הנאשם ניסה להתחמק מביצוע המשימה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נראה כי התאמץ במיוחד בניסיון התחמקות זה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יתר על כן </w:t>
      </w:r>
      <w:r>
        <w:rPr>
          <w:rtl w:val="true"/>
        </w:rPr>
        <w:t xml:space="preserve">- </w:t>
      </w:r>
      <w:r>
        <w:rPr>
          <w:rtl w:val="true"/>
        </w:rPr>
        <w:t xml:space="preserve">ואולי זה עיקר </w:t>
      </w:r>
      <w:r>
        <w:rPr>
          <w:rtl w:val="true"/>
        </w:rPr>
        <w:t xml:space="preserve">- </w:t>
      </w:r>
      <w:r>
        <w:rPr>
          <w:rtl w:val="true"/>
        </w:rPr>
        <w:t>כאשר כבר גמלה בליבו ההחלטה לבצע את המשימה</w:t>
      </w:r>
      <w:r>
        <w:rPr>
          <w:rtl w:val="true"/>
        </w:rPr>
        <w:t xml:space="preserve">, </w:t>
      </w:r>
      <w:r>
        <w:rPr>
          <w:rtl w:val="true"/>
        </w:rPr>
        <w:t xml:space="preserve">הרי שגילה בה </w:t>
      </w:r>
      <w:r>
        <w:rPr>
          <w:rtl w:val="true"/>
        </w:rPr>
        <w:t>"</w:t>
      </w:r>
      <w:r>
        <w:rPr>
          <w:rtl w:val="true"/>
        </w:rPr>
        <w:t>דבקות</w:t>
      </w:r>
      <w:r>
        <w:rPr>
          <w:rtl w:val="true"/>
        </w:rPr>
        <w:t xml:space="preserve">" </w:t>
      </w:r>
      <w:r>
        <w:rPr>
          <w:rtl w:val="true"/>
        </w:rPr>
        <w:t>ונחישות יתירה</w:t>
      </w:r>
      <w:r>
        <w:rPr>
          <w:rtl w:val="true"/>
        </w:rPr>
        <w:t xml:space="preserve">, </w:t>
      </w:r>
      <w:r>
        <w:rPr>
          <w:rtl w:val="true"/>
        </w:rPr>
        <w:t>ואף מעבר למה שנתבקש</w:t>
      </w:r>
      <w:r>
        <w:rPr>
          <w:rtl w:val="true"/>
        </w:rPr>
        <w:t>.</w:t>
        <w:tab/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בעדותו בפני </w:t>
      </w:r>
      <w:r>
        <w:rPr>
          <w:rtl w:val="true"/>
        </w:rPr>
        <w:t>(</w:t>
      </w:r>
      <w:r>
        <w:rPr>
          <w:rtl w:val="true"/>
        </w:rPr>
        <w:t>במסגרת הראיות לענין העונש</w:t>
      </w:r>
      <w:r>
        <w:rPr>
          <w:rtl w:val="true"/>
        </w:rPr>
        <w:t xml:space="preserve">) </w:t>
      </w:r>
      <w:r>
        <w:rPr>
          <w:rtl w:val="true"/>
        </w:rPr>
        <w:t>אמר הנאשם</w:t>
      </w:r>
      <w:r>
        <w:rPr>
          <w:rtl w:val="true"/>
        </w:rPr>
        <w:t xml:space="preserve">,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אופיר </w:t>
      </w:r>
      <w:r>
        <w:rPr>
          <w:b/>
          <w:b/>
          <w:bCs/>
          <w:u w:val="single"/>
          <w:rtl w:val="true"/>
        </w:rPr>
        <w:t>לא</w:t>
      </w:r>
      <w:r>
        <w:rPr>
          <w:b/>
          <w:b/>
          <w:bCs/>
          <w:rtl w:val="true"/>
        </w:rPr>
        <w:t xml:space="preserve"> אמר לי לפגוע בטולדאנו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 רק לעשות פעולה שתפחיד אותו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מיום </w:t>
      </w:r>
      <w:r>
        <w:rPr/>
        <w:t>9.5.99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 xml:space="preserve">שכשהנאשם הגיע לביצוע המשימה ירה לא פחות מחמישה </w:t>
      </w:r>
      <w:r>
        <w:rPr>
          <w:rtl w:val="true"/>
        </w:rPr>
        <w:t xml:space="preserve">(!) </w:t>
      </w:r>
      <w:r>
        <w:rPr>
          <w:rtl w:val="true"/>
        </w:rPr>
        <w:t>כדורים לעבר החלון</w:t>
      </w:r>
      <w:r>
        <w:rPr>
          <w:rtl w:val="true"/>
        </w:rPr>
        <w:t xml:space="preserve">, </w:t>
      </w:r>
      <w:r>
        <w:rPr>
          <w:rtl w:val="true"/>
        </w:rPr>
        <w:t>שממנו הציצה חברתו של טולדאנו</w:t>
      </w:r>
      <w:r>
        <w:rPr>
          <w:rtl w:val="true"/>
        </w:rPr>
        <w:t xml:space="preserve">, </w:t>
      </w:r>
      <w:r>
        <w:rPr>
          <w:rtl w:val="true"/>
        </w:rPr>
        <w:t>תוך שהוא עוצם את עיניו מפני האפשרות שבכך היה פוגע בה</w:t>
      </w:r>
      <w:r>
        <w:rPr>
          <w:rtl w:val="true"/>
        </w:rPr>
        <w:t xml:space="preserve">, </w:t>
      </w:r>
      <w:r>
        <w:rPr>
          <w:rtl w:val="true"/>
        </w:rPr>
        <w:t>פגיעה קשה ביותר</w:t>
      </w:r>
      <w:r>
        <w:rPr>
          <w:rtl w:val="true"/>
        </w:rPr>
        <w:t xml:space="preserve">, </w:t>
      </w:r>
      <w:r>
        <w:rPr>
          <w:rtl w:val="true"/>
        </w:rPr>
        <w:t>ואולי אף הרת אסון</w:t>
      </w:r>
      <w:r>
        <w:rPr>
          <w:rtl w:val="true"/>
        </w:rPr>
        <w:t xml:space="preserve">, </w:t>
      </w:r>
      <w:r>
        <w:rPr>
          <w:rtl w:val="true"/>
        </w:rPr>
        <w:t xml:space="preserve">ותוך שגילה אי איכפתיות ואדישות אפילו ביחס לאפשרות כי האדם שעלול היה להיפגע מהירי הינו אדם </w:t>
      </w:r>
      <w:r>
        <w:rPr>
          <w:rtl w:val="true"/>
        </w:rPr>
        <w:t>"</w:t>
      </w:r>
      <w:r>
        <w:rPr>
          <w:rtl w:val="true"/>
        </w:rPr>
        <w:t>חף מפשע</w:t>
      </w:r>
      <w:r>
        <w:rPr>
          <w:rtl w:val="true"/>
        </w:rPr>
        <w:t xml:space="preserve">", </w:t>
      </w:r>
      <w:r>
        <w:rPr>
          <w:rtl w:val="true"/>
        </w:rPr>
        <w:t>גם מבחינתו של אופיר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גילה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זלזול מופגן בחיי אדם ובשלמות גופו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 אינו פנים חדשות בבתי המשפט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מאחוריו שורה ארוכה של הרשעות קודמות בעבירות שונות</w:t>
      </w:r>
      <w:r>
        <w:rPr>
          <w:rtl w:val="true"/>
        </w:rPr>
        <w:t xml:space="preserve">, </w:t>
      </w:r>
      <w:r>
        <w:rPr>
          <w:rtl w:val="true"/>
        </w:rPr>
        <w:t>שבביצוען החל כבר בתקופת נערותו</w:t>
      </w:r>
      <w:r>
        <w:rPr>
          <w:rtl w:val="true"/>
        </w:rPr>
        <w:t xml:space="preserve">, </w:t>
      </w:r>
      <w:r>
        <w:rPr>
          <w:rtl w:val="true"/>
        </w:rPr>
        <w:t>והן כוללות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עבירות כנגד הרכוש ועבירות סמים </w:t>
      </w:r>
      <w:r>
        <w:rPr>
          <w:rtl w:val="true"/>
        </w:rPr>
        <w:t>(</w:t>
      </w:r>
      <w:r>
        <w:rPr>
          <w:rtl w:val="true"/>
        </w:rPr>
        <w:t>לרבות סחר בהם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גם הספיק לרצות לא פחות 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תקופות מאסר שונות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אף תלוי ועומד נגדו מאסר מותנה שהינו בר הפעלה</w:t>
      </w:r>
      <w:r>
        <w:rPr>
          <w:rtl w:val="true"/>
        </w:rPr>
        <w:t xml:space="preserve">, </w:t>
      </w:r>
      <w:r>
        <w:rPr>
          <w:rtl w:val="true"/>
        </w:rPr>
        <w:t xml:space="preserve">ביחס </w:t>
      </w:r>
      <w:r>
        <w:rPr>
          <w:u w:val="single"/>
          <w:rtl w:val="true"/>
        </w:rPr>
        <w:t xml:space="preserve">לעבירות המצורפות 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נשוא אותו כתב אישום</w:t>
      </w:r>
      <w:r>
        <w:rPr>
          <w:rtl w:val="true"/>
        </w:rPr>
        <w:t xml:space="preserve">, </w:t>
      </w:r>
      <w:r>
        <w:rPr>
          <w:rtl w:val="true"/>
        </w:rPr>
        <w:t>בעבירת האיומים והחזקת הסכין</w:t>
      </w:r>
      <w:r>
        <w:rPr>
          <w:rtl w:val="true"/>
        </w:rPr>
        <w:t xml:space="preserve">, </w:t>
      </w:r>
      <w:r>
        <w:rPr>
          <w:rtl w:val="true"/>
        </w:rPr>
        <w:t>שאותו ביקש לצרף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בטיעוניו בפני</w:t>
      </w:r>
      <w:r>
        <w:rPr>
          <w:rtl w:val="true"/>
        </w:rPr>
        <w:t xml:space="preserve">, </w:t>
      </w:r>
      <w:r>
        <w:rPr>
          <w:rtl w:val="true"/>
        </w:rPr>
        <w:t>ביקש סניגורו של הנאשם להתחשב בעונש הקל</w:t>
      </w:r>
      <w:r>
        <w:rPr>
          <w:rtl w:val="true"/>
        </w:rPr>
        <w:t xml:space="preserve">, </w:t>
      </w:r>
      <w:r>
        <w:rPr>
          <w:rtl w:val="true"/>
        </w:rPr>
        <w:t xml:space="preserve">יחסית </w:t>
      </w:r>
      <w:r>
        <w:rPr>
          <w:rtl w:val="true"/>
        </w:rPr>
        <w:t xml:space="preserve">- </w:t>
      </w:r>
      <w:r>
        <w:rPr>
          <w:rtl w:val="true"/>
        </w:rPr>
        <w:t xml:space="preserve">כך לטענתו </w:t>
      </w:r>
      <w:r>
        <w:rPr>
          <w:rtl w:val="true"/>
        </w:rPr>
        <w:t xml:space="preserve">- </w:t>
      </w:r>
      <w:r>
        <w:rPr>
          <w:rtl w:val="true"/>
        </w:rPr>
        <w:t>שהוטל על אופיר במסגרת הסדר הטיעון שנעשה עימו</w:t>
      </w:r>
      <w:r>
        <w:rPr>
          <w:rtl w:val="true"/>
        </w:rPr>
        <w:t xml:space="preserve">, </w:t>
      </w:r>
      <w:r>
        <w:rPr>
          <w:rtl w:val="true"/>
        </w:rPr>
        <w:t xml:space="preserve">כאשר בית משפט זה </w:t>
      </w:r>
      <w:r>
        <w:rPr>
          <w:rtl w:val="true"/>
        </w:rPr>
        <w:t>(</w:t>
      </w:r>
      <w:r>
        <w:rPr>
          <w:rtl w:val="true"/>
        </w:rPr>
        <w:t>במותב תלתא</w:t>
      </w:r>
      <w:r>
        <w:rPr>
          <w:rtl w:val="true"/>
        </w:rPr>
        <w:t xml:space="preserve">) </w:t>
      </w:r>
      <w:r>
        <w:rPr>
          <w:rtl w:val="true"/>
        </w:rPr>
        <w:t xml:space="preserve">גזר עליו </w:t>
      </w:r>
      <w:r>
        <w:rPr>
          <w:rtl w:val="true"/>
        </w:rPr>
        <w:t>(</w:t>
      </w:r>
      <w:r>
        <w:rPr>
          <w:rtl w:val="true"/>
        </w:rPr>
        <w:t xml:space="preserve">בתיק 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521/95</w:t>
        </w:r>
      </w:hyperlink>
      <w:r>
        <w:rPr>
          <w:rtl w:val="true"/>
        </w:rPr>
        <w:t xml:space="preserve">)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 מאסר ומחצה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בגין שורה של עבירות</w:t>
      </w:r>
      <w:r>
        <w:rPr>
          <w:rtl w:val="true"/>
        </w:rPr>
        <w:t xml:space="preserve">, </w:t>
      </w:r>
      <w:r>
        <w:rPr>
          <w:rtl w:val="true"/>
        </w:rPr>
        <w:t>שכללו 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עבירת </w:t>
      </w:r>
      <w:r>
        <w:rPr>
          <w:b/>
          <w:b/>
          <w:bCs/>
          <w:rtl w:val="true"/>
        </w:rPr>
        <w:t>הריגה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מספר עבירות סמים </w:t>
      </w:r>
      <w:r>
        <w:rPr>
          <w:rtl w:val="true"/>
        </w:rPr>
        <w:t>(</w:t>
      </w:r>
      <w:r>
        <w:rPr>
          <w:rtl w:val="true"/>
        </w:rPr>
        <w:t xml:space="preserve">וביניהן שתי עבירות </w:t>
      </w:r>
      <w:r>
        <w:rPr>
          <w:u w:val="single"/>
          <w:rtl w:val="true"/>
        </w:rPr>
        <w:t>סחר</w:t>
      </w:r>
      <w:r>
        <w:rPr>
          <w:rtl w:val="true"/>
        </w:rPr>
        <w:t xml:space="preserve"> בסם</w:t>
      </w:r>
      <w:r>
        <w:rPr>
          <w:rtl w:val="true"/>
        </w:rPr>
        <w:t xml:space="preserve">) </w:t>
      </w:r>
      <w:r>
        <w:rPr>
          <w:rtl w:val="true"/>
        </w:rPr>
        <w:t xml:space="preserve">וכן עבירת ניסיון לחבלה חמורה בנסיבות מחמירות ונשיאת נשק </w:t>
      </w:r>
      <w:r>
        <w:rPr>
          <w:rtl w:val="true"/>
        </w:rPr>
        <w:t xml:space="preserve">- </w:t>
      </w:r>
      <w:r>
        <w:rPr>
          <w:rtl w:val="true"/>
        </w:rPr>
        <w:t>היא העבירה נשוא אירוע הירי לעבר טולדאנו</w:t>
      </w:r>
      <w:r>
        <w:rPr>
          <w:rtl w:val="true"/>
        </w:rPr>
        <w:t xml:space="preserve">, </w:t>
      </w:r>
      <w:r>
        <w:rPr>
          <w:rtl w:val="true"/>
        </w:rPr>
        <w:t>שיוחסה לו ולנאשם דנן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הסניגור</w:t>
      </w:r>
      <w:r>
        <w:rPr>
          <w:rtl w:val="true"/>
        </w:rPr>
        <w:t xml:space="preserve">, </w:t>
      </w:r>
      <w:r>
        <w:rPr>
          <w:rtl w:val="true"/>
        </w:rPr>
        <w:t>בהתחשב בענש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שהתיחס למספר רב של עבירות חמורות</w:t>
      </w:r>
      <w:r>
        <w:rPr>
          <w:rtl w:val="true"/>
        </w:rPr>
        <w:t xml:space="preserve">, </w:t>
      </w:r>
      <w:r>
        <w:rPr>
          <w:rtl w:val="true"/>
        </w:rPr>
        <w:t>ובכלל זה ובעיקר</w:t>
      </w:r>
      <w:r>
        <w:rPr>
          <w:rtl w:val="true"/>
        </w:rPr>
        <w:t xml:space="preserve">, </w:t>
      </w:r>
      <w:r>
        <w:rPr>
          <w:rtl w:val="true"/>
        </w:rPr>
        <w:t>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הרי שעל פי חישוב </w:t>
      </w:r>
      <w:r>
        <w:rPr>
          <w:rtl w:val="true"/>
        </w:rPr>
        <w:t xml:space="preserve">- </w:t>
      </w:r>
      <w:r>
        <w:rPr>
          <w:rtl w:val="true"/>
        </w:rPr>
        <w:t xml:space="preserve">כך על פי הטענה </w:t>
      </w:r>
      <w:r>
        <w:rPr>
          <w:rtl w:val="true"/>
        </w:rPr>
        <w:t xml:space="preserve">- </w:t>
      </w:r>
      <w:r>
        <w:rPr>
          <w:rtl w:val="true"/>
        </w:rPr>
        <w:t>העונש שהושת על אופיר בגין העבירה נשוא אירוע הירי לעבר טולדאנו</w:t>
      </w:r>
      <w:r>
        <w:rPr>
          <w:rtl w:val="true"/>
        </w:rPr>
        <w:t xml:space="preserve">, </w:t>
      </w:r>
      <w:r>
        <w:rPr>
          <w:rtl w:val="true"/>
        </w:rPr>
        <w:t>אינו עולה על שנתיים או שלוש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אין להחמיר עם הנאשם דנן מעבר לכך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טענה זו אין בידי לקבל</w:t>
      </w:r>
      <w:r>
        <w:rPr>
          <w:rtl w:val="true"/>
        </w:rPr>
        <w:t xml:space="preserve">. </w:t>
      </w:r>
      <w:r>
        <w:rPr>
          <w:rtl w:val="true"/>
        </w:rPr>
        <w:t>בית המשפט שגזר את דינו של אופיר לא פירט מה עונש השית בצד כל אחת מן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אלא הטיל עונש כולל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 ומחצה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פי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שלפיו </w:t>
      </w:r>
      <w:r>
        <w:rPr>
          <w:u w:val="single"/>
          <w:rtl w:val="true"/>
        </w:rPr>
        <w:t>הוסכם</w:t>
      </w:r>
      <w:r>
        <w:rPr>
          <w:rtl w:val="true"/>
        </w:rPr>
        <w:t xml:space="preserve"> על עונש זה כעונש מוסכם </w:t>
      </w:r>
      <w:r>
        <w:rPr>
          <w:rtl w:val="true"/>
        </w:rPr>
        <w:t>(</w:t>
      </w:r>
      <w:r>
        <w:rPr>
          <w:rtl w:val="true"/>
        </w:rPr>
        <w:t>לא פחות ולא יותר</w:t>
      </w:r>
      <w:r>
        <w:rPr>
          <w:rtl w:val="true"/>
        </w:rPr>
        <w:t xml:space="preserve">), </w:t>
      </w:r>
      <w:r>
        <w:rPr>
          <w:rtl w:val="true"/>
        </w:rPr>
        <w:t xml:space="preserve">ולא כעונש </w:t>
      </w:r>
      <w:r>
        <w:rPr>
          <w:rtl w:val="true"/>
        </w:rPr>
        <w:t>"</w:t>
      </w:r>
      <w:r>
        <w:rPr>
          <w:rtl w:val="true"/>
        </w:rPr>
        <w:t>תיקרה</w:t>
      </w:r>
      <w:r>
        <w:rPr>
          <w:rtl w:val="true"/>
        </w:rPr>
        <w:t xml:space="preserve">", </w:t>
      </w:r>
      <w:r>
        <w:rPr>
          <w:rtl w:val="true"/>
        </w:rPr>
        <w:t>כמו במקרה דנן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ומעיון בנימוקי גזר הדין שהוצג בפני</w:t>
      </w:r>
      <w:r>
        <w:rPr>
          <w:rtl w:val="true"/>
        </w:rPr>
        <w:t xml:space="preserve">, </w:t>
      </w:r>
      <w:r>
        <w:rPr>
          <w:rtl w:val="true"/>
        </w:rPr>
        <w:t>עולה כי בית המשפט ראה נימוקים לרוב</w:t>
      </w:r>
      <w:r>
        <w:rPr>
          <w:rtl w:val="true"/>
        </w:rPr>
        <w:t xml:space="preserve">, </w:t>
      </w:r>
      <w:r>
        <w:rPr>
          <w:rtl w:val="true"/>
        </w:rPr>
        <w:t>שלא להחמיר עם אופיר מעבר לעונש המוסכם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נוכח הקושי הרב שהיה לתביעה להוכיח את עבירת הרצח </w:t>
      </w:r>
      <w:r>
        <w:rPr>
          <w:rtl w:val="true"/>
        </w:rPr>
        <w:t>(</w:t>
      </w:r>
      <w:r>
        <w:rPr>
          <w:rtl w:val="true"/>
        </w:rPr>
        <w:t>שיוחסה לאופיר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>ובמסגרת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הומרה להריגה</w:t>
      </w:r>
      <w:r>
        <w:rPr>
          <w:rtl w:val="true"/>
        </w:rPr>
        <w:t xml:space="preserve">); </w:t>
      </w:r>
      <w:r>
        <w:rPr>
          <w:rtl w:val="true"/>
        </w:rPr>
        <w:t>גילו הצעיר של אופיר</w:t>
      </w:r>
      <w:r>
        <w:rPr>
          <w:rtl w:val="true"/>
        </w:rPr>
        <w:t xml:space="preserve">; </w:t>
      </w:r>
      <w:r>
        <w:rPr>
          <w:rtl w:val="true"/>
        </w:rPr>
        <w:t xml:space="preserve">הודאתו </w:t>
      </w:r>
      <w:r>
        <w:rPr>
          <w:rtl w:val="true"/>
        </w:rPr>
        <w:t>(</w:t>
      </w:r>
      <w:r>
        <w:rPr>
          <w:rtl w:val="true"/>
        </w:rPr>
        <w:t>שבאה אמנם לאחר תחילת פרשת ההוכחות</w:t>
      </w:r>
      <w:r>
        <w:rPr>
          <w:rtl w:val="true"/>
        </w:rPr>
        <w:t xml:space="preserve">, </w:t>
      </w:r>
      <w:r>
        <w:rPr>
          <w:rtl w:val="true"/>
        </w:rPr>
        <w:t xml:space="preserve">אך עדיין בתחילתה </w:t>
      </w:r>
      <w:r>
        <w:rPr>
          <w:rtl w:val="true"/>
        </w:rPr>
        <w:t xml:space="preserve">- </w:t>
      </w:r>
      <w:r>
        <w:rPr>
          <w:rtl w:val="true"/>
        </w:rPr>
        <w:t>מה שאין כן ביחס לנאשם דנן</w:t>
      </w:r>
      <w:r>
        <w:rPr>
          <w:rtl w:val="true"/>
        </w:rPr>
        <w:t xml:space="preserve">, </w:t>
      </w:r>
      <w:r>
        <w:rPr>
          <w:rtl w:val="true"/>
        </w:rPr>
        <w:t>שהודה רק בתום פרשת ראיות התביעה וההגנה</w:t>
      </w:r>
      <w:r>
        <w:rPr>
          <w:rtl w:val="true"/>
        </w:rPr>
        <w:t xml:space="preserve">); </w:t>
      </w:r>
      <w:r>
        <w:rPr>
          <w:rtl w:val="true"/>
        </w:rPr>
        <w:t xml:space="preserve">התמשכותו של ההליך שם </w:t>
      </w:r>
      <w:r>
        <w:rPr>
          <w:rtl w:val="true"/>
        </w:rPr>
        <w:t>(</w:t>
      </w:r>
      <w:r>
        <w:rPr>
          <w:rtl w:val="true"/>
        </w:rPr>
        <w:t xml:space="preserve">מאז שנת </w:t>
      </w:r>
      <w:r>
        <w:rPr/>
        <w:t>95</w:t>
      </w:r>
      <w:r>
        <w:rPr>
          <w:rtl w:val="true"/>
        </w:rPr>
        <w:t xml:space="preserve">, </w:t>
      </w:r>
      <w:r>
        <w:rPr>
          <w:rtl w:val="true"/>
        </w:rPr>
        <w:t>מסיבות שונות</w:t>
      </w:r>
      <w:r>
        <w:rPr>
          <w:rtl w:val="true"/>
        </w:rPr>
        <w:t xml:space="preserve">, </w:t>
      </w:r>
      <w:r>
        <w:rPr>
          <w:rtl w:val="true"/>
        </w:rPr>
        <w:t>וכשלאורך כל התקופה הארוכה היה אופיר בתנאי מעצר</w:t>
      </w:r>
      <w:r>
        <w:rPr>
          <w:rtl w:val="true"/>
        </w:rPr>
        <w:t xml:space="preserve">);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במקרה דנן מדובר בשני אירועי ירי</w:t>
      </w:r>
      <w:r>
        <w:rPr>
          <w:rtl w:val="true"/>
        </w:rPr>
        <w:t xml:space="preserve">, </w:t>
      </w:r>
      <w:r>
        <w:rPr>
          <w:rtl w:val="true"/>
        </w:rPr>
        <w:t>כך שגם על פי חישובי הסניגור המלומד</w:t>
      </w:r>
      <w:r>
        <w:rPr>
          <w:rtl w:val="true"/>
        </w:rPr>
        <w:t xml:space="preserve">, </w:t>
      </w:r>
      <w:r>
        <w:rPr>
          <w:rtl w:val="true"/>
        </w:rPr>
        <w:t>אין הוא רחוק בהרבה מתיקרת העונש לה עותרת המדינה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הסניגור מבקש להביא חשבון גם את הודאתו של הנאשם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נראה כי בצדק טוען ב</w:t>
      </w:r>
      <w:r>
        <w:rPr>
          <w:rtl w:val="true"/>
        </w:rPr>
        <w:t>"</w:t>
      </w:r>
      <w:r>
        <w:rPr>
          <w:rtl w:val="true"/>
        </w:rPr>
        <w:t>כ המדינה כי אין מקום ליחס משקל רב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לעובדה זו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הודאת הנאשם באה רק לאחר תום פרשת הראיות הממושכת</w:t>
      </w:r>
      <w:r>
        <w:rPr>
          <w:rtl w:val="true"/>
        </w:rPr>
        <w:t xml:space="preserve">, </w:t>
      </w:r>
      <w:r>
        <w:rPr>
          <w:rtl w:val="true"/>
        </w:rPr>
        <w:t>שהצריכה משאבים רבים וזמן שיפוטי יקר וארוך ביותר</w:t>
      </w:r>
      <w:r>
        <w:rPr>
          <w:rtl w:val="true"/>
        </w:rPr>
        <w:t xml:space="preserve">, </w:t>
      </w:r>
      <w:r>
        <w:rPr>
          <w:rtl w:val="true"/>
        </w:rPr>
        <w:t xml:space="preserve">כך שהחסכון באלה </w:t>
      </w:r>
      <w:r>
        <w:rPr>
          <w:rtl w:val="true"/>
        </w:rPr>
        <w:t xml:space="preserve">- </w:t>
      </w:r>
      <w:r>
        <w:rPr>
          <w:rtl w:val="true"/>
        </w:rPr>
        <w:t>שהוא העומד ביסוד הבאת ההודאה במנין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לקולא </w:t>
      </w:r>
      <w:r>
        <w:rPr>
          <w:rtl w:val="true"/>
        </w:rPr>
        <w:t xml:space="preserve">- </w:t>
      </w:r>
      <w:r>
        <w:rPr>
          <w:rtl w:val="true"/>
        </w:rPr>
        <w:t>כמעט</w:t>
      </w:r>
      <w:r>
        <w:rPr>
          <w:rtl w:val="true"/>
        </w:rPr>
        <w:t xml:space="preserve">, </w:t>
      </w:r>
      <w:r>
        <w:rPr>
          <w:rtl w:val="true"/>
        </w:rPr>
        <w:t>שלא נתקיים כאן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ביקש להסביר</w:t>
      </w:r>
      <w:r>
        <w:rPr>
          <w:rtl w:val="true"/>
        </w:rPr>
        <w:t xml:space="preserve">, </w:t>
      </w:r>
      <w:r>
        <w:rPr>
          <w:rtl w:val="true"/>
        </w:rPr>
        <w:t>כי חזרתו בו מהודאתו המקורית ועמידתו על ניהול פרשת ההוכחות נועדה כדי לשטוח בפני בית המשפט תמונה מלאה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פחדיו מאופיר ונסיונותיו להתחמק מביצוע המשימה שזה הטיל עליו</w:t>
      </w:r>
      <w:r>
        <w:rPr>
          <w:rtl w:val="true"/>
        </w:rPr>
        <w:t xml:space="preserve">, </w:t>
      </w:r>
      <w:r>
        <w:rPr>
          <w:rtl w:val="true"/>
        </w:rPr>
        <w:t>וכן כדי שבית המשפט יתרשם מאופיו של דואני</w:t>
      </w:r>
      <w:r>
        <w:rPr>
          <w:rtl w:val="true"/>
        </w:rPr>
        <w:t xml:space="preserve">, </w:t>
      </w:r>
      <w:r>
        <w:rPr>
          <w:rtl w:val="true"/>
        </w:rPr>
        <w:t>כעבריין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אלא שלשם כך</w:t>
      </w:r>
      <w:r>
        <w:rPr>
          <w:rtl w:val="true"/>
        </w:rPr>
        <w:t xml:space="preserve">, </w:t>
      </w:r>
      <w:r>
        <w:rPr>
          <w:rtl w:val="true"/>
        </w:rPr>
        <w:t>לא היה צורך בכל ניהול פרשת ההוכחות המסועפת</w:t>
      </w:r>
      <w:r>
        <w:rPr>
          <w:rtl w:val="true"/>
        </w:rPr>
        <w:t xml:space="preserve">, </w:t>
      </w:r>
      <w:r>
        <w:rPr>
          <w:rtl w:val="true"/>
        </w:rPr>
        <w:t>שהשתרעה על פני כשנה תמימה של דיונים ממושכים וישיבות רבות</w:t>
      </w:r>
      <w:r>
        <w:rPr>
          <w:rtl w:val="true"/>
        </w:rPr>
        <w:t xml:space="preserve">, </w:t>
      </w:r>
      <w:r>
        <w:rPr>
          <w:rtl w:val="true"/>
        </w:rPr>
        <w:t>ויכול היה הנאשם להביא ראיות לאותן עובדות להן טען</w:t>
      </w:r>
      <w:r>
        <w:rPr>
          <w:rtl w:val="true"/>
        </w:rPr>
        <w:t xml:space="preserve">, </w:t>
      </w:r>
      <w:r>
        <w:rPr>
          <w:rtl w:val="true"/>
        </w:rPr>
        <w:t>גם במסגרת פרק הראיות לצורך הטיעונים לעונש</w:t>
      </w:r>
      <w:r>
        <w:rPr>
          <w:rtl w:val="true"/>
        </w:rPr>
        <w:t xml:space="preserve">, </w:t>
      </w:r>
      <w:r>
        <w:rPr>
          <w:rtl w:val="true"/>
        </w:rPr>
        <w:t>והוא אמנם גם התעקש להביא אותן ראיות בחלק זה של המשפט</w:t>
      </w:r>
      <w:r>
        <w:rPr>
          <w:rtl w:val="true"/>
        </w:rPr>
        <w:t xml:space="preserve">, </w:t>
      </w:r>
      <w:r>
        <w:rPr>
          <w:rtl w:val="true"/>
        </w:rPr>
        <w:t>ואיפשרתי שמיעתן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ומשמכל מקום בהודאת הנאשם </w:t>
      </w:r>
      <w:r>
        <w:rPr>
          <w:rtl w:val="true"/>
        </w:rPr>
        <w:t xml:space="preserve">- </w:t>
      </w:r>
      <w:r>
        <w:rPr>
          <w:rtl w:val="true"/>
        </w:rPr>
        <w:t xml:space="preserve">אף כי באיחור </w:t>
      </w:r>
      <w:r>
        <w:rPr>
          <w:rtl w:val="true"/>
        </w:rPr>
        <w:t xml:space="preserve">- </w:t>
      </w:r>
      <w:r>
        <w:rPr>
          <w:rtl w:val="true"/>
        </w:rPr>
        <w:t>מקופלת חרטה על המעשים</w:t>
      </w:r>
      <w:r>
        <w:rPr>
          <w:rtl w:val="true"/>
        </w:rPr>
        <w:t xml:space="preserve">, </w:t>
      </w:r>
      <w:r>
        <w:rPr>
          <w:rtl w:val="true"/>
        </w:rPr>
        <w:t>לא אתעלם</w:t>
      </w:r>
      <w:r>
        <w:rPr>
          <w:rtl w:val="true"/>
        </w:rPr>
        <w:t xml:space="preserve">,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משיקול זה של ההודאה</w:t>
      </w:r>
      <w:r>
        <w:rPr>
          <w:rtl w:val="true"/>
        </w:rPr>
        <w:t xml:space="preserve">, </w:t>
      </w:r>
      <w:r>
        <w:rPr>
          <w:rtl w:val="true"/>
        </w:rPr>
        <w:t>כשיקול לקולא</w:t>
      </w:r>
      <w:r>
        <w:rPr>
          <w:rtl w:val="true"/>
        </w:rPr>
        <w:t xml:space="preserve">, </w:t>
      </w:r>
      <w:r>
        <w:rPr>
          <w:rtl w:val="true"/>
        </w:rPr>
        <w:t>אך זאת במידה הראויה והלא גדולה</w:t>
      </w:r>
      <w:r>
        <w:rPr>
          <w:rtl w:val="true"/>
        </w:rPr>
        <w:t xml:space="preserve">, </w:t>
      </w:r>
      <w:r>
        <w:rPr>
          <w:rtl w:val="true"/>
        </w:rPr>
        <w:t>בהתחשב בנסיבות כאמור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ביקש להתחשב גם בנסיבותיו האישיות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מהתסקיר המקורי מיום </w:t>
      </w:r>
      <w:r>
        <w:rPr/>
        <w:t>5.2.98</w:t>
      </w:r>
      <w:r>
        <w:rPr>
          <w:rtl w:val="true"/>
        </w:rPr>
        <w:t xml:space="preserve"> </w:t>
      </w:r>
      <w:r>
        <w:rPr>
          <w:rtl w:val="true"/>
        </w:rPr>
        <w:t xml:space="preserve">של שירות המבחן </w:t>
      </w:r>
      <w:r>
        <w:rPr>
          <w:rtl w:val="true"/>
        </w:rPr>
        <w:t>(</w:t>
      </w:r>
      <w:r>
        <w:rPr>
          <w:rtl w:val="true"/>
        </w:rPr>
        <w:t>שהוגש לאחר הסדר הטיעון המקורי והכרעת הדין המקורית שניתנה בעקבותיו</w:t>
      </w:r>
      <w:r>
        <w:rPr>
          <w:rtl w:val="true"/>
        </w:rPr>
        <w:t xml:space="preserve">, </w:t>
      </w:r>
      <w:r>
        <w:rPr>
          <w:rtl w:val="true"/>
        </w:rPr>
        <w:t>ולקראת הטיעונים לעונש שאמורים היו להשמע אז</w:t>
      </w:r>
      <w:r>
        <w:rPr>
          <w:rtl w:val="true"/>
        </w:rPr>
        <w:t xml:space="preserve">, </w:t>
      </w:r>
      <w:r>
        <w:rPr>
          <w:rtl w:val="true"/>
        </w:rPr>
        <w:t>ובטרם חזר בו הנאשם מהודאתו</w:t>
      </w:r>
      <w:r>
        <w:rPr>
          <w:rtl w:val="true"/>
        </w:rPr>
        <w:t xml:space="preserve">) </w:t>
      </w:r>
      <w:r>
        <w:rPr>
          <w:rtl w:val="true"/>
        </w:rPr>
        <w:t xml:space="preserve">עולה כי הנאשם </w:t>
      </w:r>
      <w:r>
        <w:rPr>
          <w:rtl w:val="true"/>
        </w:rPr>
        <w:t xml:space="preserve">- </w:t>
      </w:r>
      <w:r>
        <w:rPr>
          <w:rtl w:val="true"/>
        </w:rPr>
        <w:t xml:space="preserve">שהינו כיום בן </w:t>
      </w:r>
      <w:r>
        <w:rPr/>
        <w:t>33</w:t>
      </w:r>
      <w:r>
        <w:rPr>
          <w:rtl w:val="true"/>
        </w:rPr>
        <w:t xml:space="preserve"> - </w:t>
      </w:r>
      <w:r>
        <w:rPr>
          <w:rtl w:val="true"/>
        </w:rPr>
        <w:t xml:space="preserve">הינו אב לשני ילדים </w:t>
      </w:r>
      <w:r>
        <w:rPr>
          <w:rtl w:val="true"/>
        </w:rPr>
        <w:t>(</w:t>
      </w:r>
      <w:r>
        <w:rPr>
          <w:rtl w:val="true"/>
        </w:rPr>
        <w:t xml:space="preserve">האחד </w:t>
      </w:r>
      <w:r>
        <w:rPr>
          <w:rtl w:val="true"/>
        </w:rPr>
        <w:t xml:space="preserve">-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שנים ושנולד לו מאותה דשטי</w:t>
      </w:r>
      <w:r>
        <w:rPr>
          <w:rtl w:val="true"/>
        </w:rPr>
        <w:t xml:space="preserve">; </w:t>
      </w:r>
      <w:r>
        <w:rPr>
          <w:rtl w:val="true"/>
        </w:rPr>
        <w:t xml:space="preserve">והשניה </w:t>
      </w:r>
      <w:r>
        <w:rPr>
          <w:rtl w:val="true"/>
        </w:rPr>
        <w:t xml:space="preserve">- </w:t>
      </w:r>
      <w:r>
        <w:rPr>
          <w:rtl w:val="true"/>
        </w:rPr>
        <w:t>בת כשנתיים</w:t>
      </w:r>
      <w:r>
        <w:rPr>
          <w:rtl w:val="true"/>
        </w:rPr>
        <w:t xml:space="preserve">, </w:t>
      </w:r>
      <w:r>
        <w:rPr>
          <w:rtl w:val="true"/>
        </w:rPr>
        <w:t xml:space="preserve">שנולדה לו </w:t>
      </w:r>
      <w:r>
        <w:rPr>
          <w:u w:val="single"/>
          <w:rtl w:val="true"/>
        </w:rPr>
        <w:t>מאימו של אופיר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לה נישא בנישואין אזרחיים</w:t>
      </w:r>
      <w:r>
        <w:rPr>
          <w:rtl w:val="true"/>
        </w:rPr>
        <w:t xml:space="preserve">, </w:t>
      </w:r>
      <w:r>
        <w:rPr>
          <w:rtl w:val="true"/>
        </w:rPr>
        <w:t>לאחר שנפרד מאותה דשטי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אותו בן נתון באומנה בחיק משפחה אומנת</w:t>
      </w:r>
      <w:r>
        <w:rPr>
          <w:rtl w:val="true"/>
        </w:rPr>
        <w:t xml:space="preserve">, </w:t>
      </w:r>
      <w:r>
        <w:rPr>
          <w:rtl w:val="true"/>
        </w:rPr>
        <w:t>לאחר שהוגדר כבר אימוץ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</w:t>
      </w:r>
      <w:r>
        <w:rPr>
          <w:rtl w:val="true"/>
        </w:rPr>
        <w:t xml:space="preserve">- </w:t>
      </w:r>
      <w:r>
        <w:rPr>
          <w:rtl w:val="true"/>
        </w:rPr>
        <w:t xml:space="preserve">עצמו </w:t>
      </w:r>
      <w:r>
        <w:rPr>
          <w:rtl w:val="true"/>
        </w:rPr>
        <w:t xml:space="preserve">- </w:t>
      </w:r>
      <w:r>
        <w:rPr>
          <w:rtl w:val="true"/>
        </w:rPr>
        <w:t>הינו בן יחיד להוריו</w:t>
      </w:r>
      <w:r>
        <w:rPr>
          <w:rtl w:val="true"/>
        </w:rPr>
        <w:t xml:space="preserve">, </w:t>
      </w:r>
      <w:r>
        <w:rPr>
          <w:rtl w:val="true"/>
        </w:rPr>
        <w:t>שנתגרשו זמ</w:t>
      </w:r>
      <w:r>
        <w:rPr>
          <w:rtl w:val="true"/>
        </w:rPr>
        <w:t>"</w:t>
      </w:r>
      <w:r>
        <w:rPr>
          <w:rtl w:val="true"/>
        </w:rPr>
        <w:t>ז סמוך לאחר שנולד</w:t>
      </w:r>
      <w:r>
        <w:rPr>
          <w:rtl w:val="true"/>
        </w:rPr>
        <w:t xml:space="preserve">, </w:t>
      </w:r>
      <w:r>
        <w:rPr>
          <w:rtl w:val="true"/>
        </w:rPr>
        <w:t>ולא היה לו כל קשר עימהם</w:t>
      </w:r>
      <w:r>
        <w:rPr>
          <w:rtl w:val="true"/>
        </w:rPr>
        <w:t xml:space="preserve">, </w:t>
      </w:r>
      <w:r>
        <w:rPr>
          <w:rtl w:val="true"/>
        </w:rPr>
        <w:t>אלא עם סבתו</w:t>
      </w:r>
      <w:r>
        <w:rPr>
          <w:rtl w:val="true"/>
        </w:rPr>
        <w:t xml:space="preserve">, </w:t>
      </w:r>
      <w:r>
        <w:rPr>
          <w:rtl w:val="true"/>
        </w:rPr>
        <w:t>שגידלה אותו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מאז ינקותו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הנאשם סיים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וכבר בילדותו הופנה למסגרת של לימוד מקצוע</w:t>
      </w:r>
      <w:r>
        <w:rPr>
          <w:rtl w:val="true"/>
        </w:rPr>
        <w:t xml:space="preserve">, </w:t>
      </w:r>
      <w:r>
        <w:rPr>
          <w:rtl w:val="true"/>
        </w:rPr>
        <w:t>אך גם משם נפלט</w:t>
      </w:r>
      <w:r>
        <w:rPr>
          <w:rtl w:val="true"/>
        </w:rPr>
        <w:t xml:space="preserve">, </w:t>
      </w:r>
      <w:r>
        <w:rPr>
          <w:rtl w:val="true"/>
        </w:rPr>
        <w:t>עקב הישגים נמוכים</w:t>
      </w:r>
      <w:r>
        <w:rPr>
          <w:rtl w:val="true"/>
        </w:rPr>
        <w:t xml:space="preserve">, </w:t>
      </w:r>
      <w:r>
        <w:rPr>
          <w:rtl w:val="true"/>
        </w:rPr>
        <w:t>ומאז החלה מעורבותו בחברת השוליים העבריינית והידרדרותו לעולם הפשע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בבדיקה פסיכולוגית שנערכה לנאשם</w:t>
      </w:r>
      <w:r>
        <w:rPr>
          <w:rtl w:val="true"/>
        </w:rPr>
        <w:t xml:space="preserve">, </w:t>
      </w:r>
      <w:r>
        <w:rPr>
          <w:rtl w:val="true"/>
        </w:rPr>
        <w:t xml:space="preserve">בהיותו בן </w:t>
      </w:r>
      <w:r>
        <w:rPr/>
        <w:t>15</w:t>
      </w:r>
      <w:r>
        <w:rPr>
          <w:rtl w:val="true"/>
        </w:rPr>
        <w:t xml:space="preserve"> (</w:t>
      </w:r>
      <w:r>
        <w:rPr>
          <w:rtl w:val="true"/>
        </w:rPr>
        <w:t>כשהחל לשלוח יד בפשע</w:t>
      </w:r>
      <w:r>
        <w:rPr>
          <w:rtl w:val="true"/>
        </w:rPr>
        <w:t xml:space="preserve">), </w:t>
      </w:r>
      <w:r>
        <w:rPr>
          <w:rtl w:val="true"/>
        </w:rPr>
        <w:t>אובחן ככזה 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הגורמים העיקריים בחוסר תפקודו הינם על רקע אורגני ועזובה רגשית קשה</w:t>
      </w:r>
      <w:r>
        <w:rPr>
          <w:b/>
          <w:bCs/>
          <w:rtl w:val="true"/>
        </w:rPr>
        <w:t>".</w:t>
      </w:r>
    </w:p>
    <w:p>
      <w:pPr>
        <w:pStyle w:val="Normal"/>
        <w:ind w:hanging="567" w:start="567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עוד עולה מתסקיר זה</w:t>
      </w:r>
      <w:r>
        <w:rPr>
          <w:rtl w:val="true"/>
        </w:rPr>
        <w:t xml:space="preserve">, </w:t>
      </w:r>
      <w:r>
        <w:rPr>
          <w:rtl w:val="true"/>
        </w:rPr>
        <w:t>כי במרבית זמנו</w:t>
      </w:r>
      <w:r>
        <w:rPr>
          <w:rtl w:val="true"/>
        </w:rPr>
        <w:t xml:space="preserve">, </w:t>
      </w:r>
      <w:r>
        <w:rPr>
          <w:rtl w:val="true"/>
        </w:rPr>
        <w:t>עד לגיוסו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מיעט לעבוד במקומות שונים והרבה לשוטט</w:t>
      </w:r>
      <w:r>
        <w:rPr>
          <w:rtl w:val="true"/>
        </w:rPr>
        <w:t xml:space="preserve">; </w:t>
      </w:r>
      <w:r>
        <w:rPr>
          <w:rtl w:val="true"/>
        </w:rPr>
        <w:t>ולאחר שגוייס</w:t>
      </w:r>
      <w:r>
        <w:rPr>
          <w:rtl w:val="true"/>
        </w:rPr>
        <w:t xml:space="preserve">, </w:t>
      </w:r>
      <w:r>
        <w:rPr>
          <w:rtl w:val="true"/>
        </w:rPr>
        <w:t>שוחרר כעבור שנה</w:t>
      </w:r>
      <w:r>
        <w:rPr>
          <w:rtl w:val="true"/>
        </w:rPr>
        <w:t xml:space="preserve">, </w:t>
      </w:r>
      <w:r>
        <w:rPr>
          <w:rtl w:val="true"/>
        </w:rPr>
        <w:t>עקב אי התאמה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בסיכומו של תסקיר זה </w:t>
      </w:r>
      <w:r>
        <w:rPr>
          <w:rtl w:val="true"/>
        </w:rPr>
        <w:t xml:space="preserve">- </w:t>
      </w:r>
      <w:r>
        <w:rPr>
          <w:rtl w:val="true"/>
        </w:rPr>
        <w:t>ונוכח העמדה שהביע הנאשם בפני שירות המבחן</w:t>
      </w:r>
      <w:r>
        <w:rPr>
          <w:rtl w:val="true"/>
        </w:rPr>
        <w:t xml:space="preserve">, </w:t>
      </w:r>
      <w:r>
        <w:rPr>
          <w:rtl w:val="true"/>
        </w:rPr>
        <w:t>בה התכחש לעבירות בהן הודה</w:t>
      </w:r>
      <w:r>
        <w:rPr>
          <w:rtl w:val="true"/>
        </w:rPr>
        <w:t xml:space="preserve">, </w:t>
      </w:r>
      <w:r>
        <w:rPr>
          <w:rtl w:val="true"/>
        </w:rPr>
        <w:t xml:space="preserve">והודיע כי בכוונתו לחזור בו בבית המשפט מהודאתו </w:t>
      </w:r>
      <w:r>
        <w:rPr>
          <w:rtl w:val="true"/>
        </w:rPr>
        <w:t xml:space="preserve">- </w:t>
      </w:r>
      <w:r>
        <w:rPr>
          <w:rtl w:val="true"/>
        </w:rPr>
        <w:t>לא הובעה כל המלצה טיפולית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בתסקיר הנוכחי מיום </w:t>
      </w:r>
      <w:r>
        <w:rPr/>
        <w:t>25.4.99</w:t>
      </w:r>
      <w:r>
        <w:rPr>
          <w:rtl w:val="true"/>
        </w:rPr>
        <w:t xml:space="preserve"> (</w:t>
      </w:r>
      <w:r>
        <w:rPr>
          <w:rtl w:val="true"/>
        </w:rPr>
        <w:t>שהוגש לקראת מתן גזר דין זה</w:t>
      </w:r>
      <w:r>
        <w:rPr>
          <w:rtl w:val="true"/>
        </w:rPr>
        <w:t xml:space="preserve">) </w:t>
      </w:r>
      <w:r>
        <w:rPr>
          <w:rtl w:val="true"/>
        </w:rPr>
        <w:t>התיחס שירות המבחן לתפקודו של הנאשם בבית המעצר</w:t>
      </w:r>
      <w:r>
        <w:rPr>
          <w:rtl w:val="true"/>
        </w:rPr>
        <w:t xml:space="preserve">, </w:t>
      </w:r>
      <w:r>
        <w:rPr>
          <w:rtl w:val="true"/>
        </w:rPr>
        <w:t>כשלדברי הנאשם אין הוא צורך סמים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>
          <w:rtl w:val="true"/>
        </w:rPr>
        <w:t xml:space="preserve">- </w:t>
      </w:r>
      <w:r>
        <w:rPr>
          <w:rtl w:val="true"/>
        </w:rPr>
        <w:t xml:space="preserve">כך עולה מתסקיר זה </w:t>
      </w:r>
      <w:r>
        <w:rPr>
          <w:rtl w:val="true"/>
        </w:rPr>
        <w:t xml:space="preserve">-  </w:t>
      </w:r>
      <w:r>
        <w:rPr>
          <w:rtl w:val="true"/>
        </w:rPr>
        <w:t>מביע רצון ומשאלה להשתלב בתכנית טיפולית</w:t>
      </w:r>
      <w:r>
        <w:rPr>
          <w:rtl w:val="true"/>
        </w:rPr>
        <w:t xml:space="preserve">, </w:t>
      </w:r>
      <w:r>
        <w:rPr>
          <w:rtl w:val="true"/>
        </w:rPr>
        <w:t>כולל עבודה והכשרה מקצועית</w:t>
      </w:r>
      <w:r>
        <w:rPr>
          <w:rtl w:val="true"/>
        </w:rPr>
        <w:t xml:space="preserve">, </w:t>
      </w:r>
      <w:r>
        <w:rPr>
          <w:rtl w:val="true"/>
        </w:rPr>
        <w:t>באגף טעוני ההגנה</w:t>
      </w:r>
      <w:r>
        <w:rPr>
          <w:rtl w:val="true"/>
        </w:rPr>
        <w:t xml:space="preserve">, </w:t>
      </w:r>
      <w:r>
        <w:rPr>
          <w:rtl w:val="true"/>
        </w:rPr>
        <w:t>שבו הוא מוחזק בבית המעצר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עולה מתסקיר זה</w:t>
      </w:r>
      <w:r>
        <w:rPr>
          <w:rtl w:val="true"/>
        </w:rPr>
        <w:t xml:space="preserve">, </w:t>
      </w:r>
      <w:r>
        <w:rPr>
          <w:rtl w:val="true"/>
        </w:rPr>
        <w:t>כי הנאשם מודה בביצוע העבירות בהן הורשע</w:t>
      </w:r>
      <w:r>
        <w:rPr>
          <w:rtl w:val="true"/>
        </w:rPr>
        <w:t xml:space="preserve">, </w:t>
      </w:r>
      <w:r>
        <w:rPr>
          <w:rtl w:val="true"/>
        </w:rPr>
        <w:t>ונוטל אחריות עליהן ומודע לכך שעליו לשאת בעונש ההולם את חומרתן</w:t>
      </w:r>
      <w:r>
        <w:rPr>
          <w:rtl w:val="true"/>
        </w:rPr>
        <w:t xml:space="preserve">. </w:t>
      </w:r>
      <w:r>
        <w:rPr>
          <w:rtl w:val="true"/>
        </w:rPr>
        <w:t xml:space="preserve">הוא אף הביע נכונות לחשוף בפני בית המשפט את מניעיו בביצוען והנסיבות שבהן בוצעו </w:t>
      </w:r>
      <w:r>
        <w:rPr>
          <w:rtl w:val="true"/>
        </w:rPr>
        <w:t xml:space="preserve">- </w:t>
      </w:r>
      <w:r>
        <w:rPr>
          <w:rtl w:val="true"/>
        </w:rPr>
        <w:t xml:space="preserve">והוא אמנם עשה כן בטיעוניו בפני </w:t>
      </w:r>
      <w:r>
        <w:rPr>
          <w:rtl w:val="true"/>
        </w:rPr>
        <w:t xml:space="preserve">- </w:t>
      </w:r>
      <w:r>
        <w:rPr>
          <w:rtl w:val="true"/>
        </w:rPr>
        <w:t>תוך חשיפת עצמו לסיכונים</w:t>
      </w:r>
      <w:r>
        <w:rPr>
          <w:rtl w:val="true"/>
        </w:rPr>
        <w:t xml:space="preserve">, </w:t>
      </w:r>
      <w:r>
        <w:rPr>
          <w:rtl w:val="true"/>
        </w:rPr>
        <w:t>בדבר פגיעה בגופו</w:t>
      </w:r>
      <w:r>
        <w:rPr>
          <w:rtl w:val="true"/>
        </w:rPr>
        <w:t xml:space="preserve">, </w:t>
      </w:r>
      <w:r>
        <w:rPr>
          <w:rtl w:val="true"/>
        </w:rPr>
        <w:t>ולתוצאות וההשלכות הנובעות מכך על מהלך חייו בעתיד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 המבחן הוסיף והביע בתסקיר זה את התרשמותו מהכנות הרבה שבהצהרות הנאשם בדבר כוונותיו ונכונותו לשנות את אורח חייו ולעלות על דרך המלך</w:t>
      </w:r>
      <w:r>
        <w:rPr>
          <w:rtl w:val="true"/>
        </w:rPr>
        <w:t xml:space="preserve">, </w:t>
      </w:r>
      <w:r>
        <w:rPr>
          <w:rtl w:val="true"/>
        </w:rPr>
        <w:t>לאחר שערך</w:t>
      </w:r>
      <w:r>
        <w:rPr>
          <w:rtl w:val="true"/>
        </w:rPr>
        <w:t xml:space="preserve">, </w:t>
      </w:r>
      <w:r>
        <w:rPr>
          <w:rtl w:val="true"/>
        </w:rPr>
        <w:t>ועורך</w:t>
      </w:r>
      <w:r>
        <w:rPr>
          <w:rtl w:val="true"/>
        </w:rPr>
        <w:t xml:space="preserve">, </w:t>
      </w:r>
      <w:r>
        <w:rPr>
          <w:rtl w:val="true"/>
        </w:rPr>
        <w:t>חשבון נפש וסיכום מהלך חייו</w:t>
      </w:r>
      <w:r>
        <w:rPr>
          <w:rtl w:val="true"/>
        </w:rPr>
        <w:t xml:space="preserve">, </w:t>
      </w:r>
      <w:r>
        <w:rPr>
          <w:rtl w:val="true"/>
        </w:rPr>
        <w:t>עד כה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מגלה שירות המבחן ספקנות באשר ליכולתו של הנאשם לגייס את הכוחות הדרושים להתמודדות ממושכת עם הקשיים הצפויים לו בדרך זו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בסיכום תסקיר זה </w:t>
      </w:r>
      <w:r>
        <w:rPr>
          <w:rtl w:val="true"/>
        </w:rPr>
        <w:t xml:space="preserve">- </w:t>
      </w:r>
      <w:r>
        <w:rPr>
          <w:rtl w:val="true"/>
        </w:rPr>
        <w:t xml:space="preserve">ולאור חומרת העבירות </w:t>
      </w:r>
      <w:r>
        <w:rPr>
          <w:rtl w:val="true"/>
        </w:rPr>
        <w:t xml:space="preserve">- </w:t>
      </w:r>
      <w:r>
        <w:rPr>
          <w:rtl w:val="true"/>
        </w:rPr>
        <w:t>נמנע שירות המבחן מהמלצה טיפולית</w:t>
      </w:r>
      <w:r>
        <w:rPr>
          <w:rtl w:val="true"/>
        </w:rPr>
        <w:t xml:space="preserve">, </w:t>
      </w:r>
      <w:r>
        <w:rPr>
          <w:rtl w:val="true"/>
        </w:rPr>
        <w:t>ולדעתו</w:t>
      </w:r>
      <w:r>
        <w:rPr>
          <w:rtl w:val="true"/>
        </w:rPr>
        <w:t xml:space="preserve">, </w:t>
      </w:r>
      <w:r>
        <w:rPr>
          <w:rtl w:val="true"/>
        </w:rPr>
        <w:t>יש מקום להטיל עונש מרתיע ההולם את חומרת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לצורך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חידוד גבולות המותר והאסור בחברה הנורמטיבית</w:t>
      </w:r>
      <w:r>
        <w:rPr>
          <w:b/>
          <w:bCs/>
          <w:rtl w:val="true"/>
        </w:rPr>
        <w:t>".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הוסיף שירות המבחן והמליץ על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התחשבות מסוימת שתשמר את המוטיבציה המובעת לניהול אורח חיים תקין בעתיד ותהווה מסר מחזק ליישום כוונותיו החיוביות</w:t>
      </w:r>
      <w:r>
        <w:rPr>
          <w:b/>
          <w:bCs/>
          <w:rtl w:val="true"/>
        </w:rPr>
        <w:t>".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ראוי לציין כי תסקיר זה הוגש בטרם ידע שירות המבחן על העבירות המצורפות הנוספות</w:t>
      </w:r>
      <w:r>
        <w:rPr>
          <w:rtl w:val="true"/>
        </w:rPr>
        <w:t xml:space="preserve">, </w:t>
      </w:r>
      <w:r>
        <w:rPr>
          <w:rtl w:val="true"/>
        </w:rPr>
        <w:t xml:space="preserve">כאמור בסעיף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לגזר דין זה לעיל</w:t>
      </w:r>
      <w:r>
        <w:rPr>
          <w:rtl w:val="true"/>
        </w:rPr>
        <w:t xml:space="preserve">, </w:t>
      </w:r>
      <w:r>
        <w:rPr>
          <w:rtl w:val="true"/>
        </w:rPr>
        <w:t>ואשר אליהן נשוב להלן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ולאחר ששקלתי את כלל הנסיבות</w:t>
      </w:r>
      <w:r>
        <w:rPr>
          <w:rtl w:val="true"/>
        </w:rPr>
        <w:t xml:space="preserve">,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>סבורני כי</w:t>
      </w:r>
      <w:r>
        <w:rPr>
          <w:rtl w:val="true"/>
        </w:rPr>
        <w:t xml:space="preserve">,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 xml:space="preserve">תקופת המאסר בפועל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ומחצה</w:t>
      </w:r>
      <w:r>
        <w:rPr>
          <w:rtl w:val="true"/>
        </w:rPr>
        <w:t xml:space="preserve">, </w:t>
      </w:r>
      <w:r>
        <w:rPr>
          <w:rtl w:val="true"/>
        </w:rPr>
        <w:t>אותה מבקשת המדינה להטיל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כתיקרה המוסכמת בהסדר הטיעון </w:t>
      </w:r>
      <w:r>
        <w:rPr>
          <w:rtl w:val="true"/>
        </w:rPr>
        <w:t xml:space="preserve">- </w:t>
      </w:r>
      <w:r>
        <w:rPr>
          <w:rtl w:val="true"/>
        </w:rPr>
        <w:t>אינה בלתי סבירה ואינה בלתי הולמת</w:t>
      </w:r>
      <w:r>
        <w:rPr>
          <w:rtl w:val="true"/>
        </w:rPr>
        <w:t xml:space="preserve">, </w:t>
      </w:r>
      <w:r>
        <w:rPr>
          <w:rtl w:val="true"/>
        </w:rPr>
        <w:t>נוכח חומרת העבירות</w:t>
      </w:r>
      <w:r>
        <w:rPr>
          <w:rtl w:val="true"/>
        </w:rPr>
        <w:t xml:space="preserve">, </w:t>
      </w:r>
      <w:r>
        <w:rPr>
          <w:rtl w:val="true"/>
        </w:rPr>
        <w:t>הצורך ההרתעתי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שנמנו לעיל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ובנוטלי בחשבון את הנסיבות לקולא והנעוצות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בנסיבותיו האישיות של הנאשם</w:t>
      </w:r>
      <w:r>
        <w:rPr>
          <w:rtl w:val="true"/>
        </w:rPr>
        <w:t xml:space="preserve">; </w:t>
      </w:r>
      <w:r>
        <w:rPr>
          <w:rtl w:val="true"/>
        </w:rPr>
        <w:t>במשך הזמן הרב בו הוא מוחזק בתנאי מעצר</w:t>
      </w:r>
      <w:r>
        <w:rPr>
          <w:rtl w:val="true"/>
        </w:rPr>
        <w:t xml:space="preserve">, </w:t>
      </w:r>
      <w:r>
        <w:rPr>
          <w:rtl w:val="true"/>
        </w:rPr>
        <w:t>שכידוע קשים הם מתנאי מאסר</w:t>
      </w:r>
      <w:r>
        <w:rPr>
          <w:rtl w:val="true"/>
        </w:rPr>
        <w:t xml:space="preserve">; </w:t>
      </w:r>
      <w:r>
        <w:rPr>
          <w:rtl w:val="true"/>
        </w:rPr>
        <w:t>בהתרשמותי מחרטתו הכנה בפני</w:t>
      </w:r>
      <w:r>
        <w:rPr>
          <w:rtl w:val="true"/>
        </w:rPr>
        <w:t xml:space="preserve">, </w:t>
      </w:r>
      <w:r>
        <w:rPr>
          <w:rtl w:val="true"/>
        </w:rPr>
        <w:t xml:space="preserve">ובמידה מסוימת </w:t>
      </w:r>
      <w:r>
        <w:rPr>
          <w:rtl w:val="true"/>
        </w:rPr>
        <w:t>(</w:t>
      </w:r>
      <w:r>
        <w:rPr>
          <w:rtl w:val="true"/>
        </w:rPr>
        <w:t>אך קלה מאוד</w:t>
      </w:r>
      <w:r>
        <w:rPr>
          <w:rtl w:val="true"/>
        </w:rPr>
        <w:t xml:space="preserve">) </w:t>
      </w:r>
      <w:r>
        <w:rPr>
          <w:rtl w:val="true"/>
        </w:rPr>
        <w:t>גם בהודאתו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tl w:val="true"/>
        </w:rPr>
        <w:t xml:space="preserve">- </w:t>
      </w:r>
      <w:r>
        <w:rPr>
          <w:rtl w:val="true"/>
        </w:rPr>
        <w:t xml:space="preserve">וזה עיקר </w:t>
      </w:r>
      <w:r>
        <w:rPr>
          <w:rtl w:val="true"/>
        </w:rPr>
        <w:t xml:space="preserve">- </w:t>
      </w:r>
      <w:r>
        <w:rPr>
          <w:rtl w:val="true"/>
        </w:rPr>
        <w:t xml:space="preserve">כדי לעודד אותו להוציא מן הכוח אל הפועל את הצהרותיו בדבר כוונותיו לעלות על דרך המלך ולהתנתק מהחברה העבריינית </w:t>
      </w:r>
      <w:r>
        <w:rPr>
          <w:rtl w:val="true"/>
        </w:rPr>
        <w:t>(</w:t>
      </w:r>
      <w:r>
        <w:rPr>
          <w:rtl w:val="true"/>
        </w:rPr>
        <w:t>והדבר אינו קל לנאשם זה</w:t>
      </w:r>
      <w:r>
        <w:rPr>
          <w:rtl w:val="true"/>
        </w:rPr>
        <w:t xml:space="preserve">, </w:t>
      </w:r>
      <w:r>
        <w:rPr>
          <w:rtl w:val="true"/>
        </w:rPr>
        <w:t>שלכאורה עלול הוא להיות נרדף בעתיד</w:t>
      </w:r>
      <w:r>
        <w:rPr>
          <w:rtl w:val="true"/>
        </w:rPr>
        <w:t>, (</w:t>
      </w:r>
      <w:r>
        <w:rPr>
          <w:rtl w:val="true"/>
        </w:rPr>
        <w:t>ומשום כך הוא גם מוגדר כטעון הגנה בבית המעצר ומוחזק באגף טעוני הגנה</w:t>
      </w:r>
      <w:r>
        <w:rPr>
          <w:rtl w:val="true"/>
        </w:rPr>
        <w:t xml:space="preserve">) - </w:t>
      </w:r>
      <w:r>
        <w:rPr>
          <w:rtl w:val="true"/>
        </w:rPr>
        <w:t>הגעתי למסקנה כי אין זה מן ההכרח למצות עמו את מלוא חומר הדין עד כדי תקרת העונש המבוקשת</w:t>
      </w:r>
      <w:r>
        <w:rPr>
          <w:rtl w:val="true"/>
        </w:rPr>
        <w:t xml:space="preserve">, </w:t>
      </w:r>
      <w:r>
        <w:rPr>
          <w:rtl w:val="true"/>
        </w:rPr>
        <w:t>ויש מקום להפחית הימנה תקופת מה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 xml:space="preserve">ביחס לעבירות נשוא תיק זה הנוגעות לשני אירועי הירי </w:t>
      </w:r>
      <w:r>
        <w:rPr>
          <w:rtl w:val="true"/>
        </w:rPr>
        <w:t>(</w:t>
      </w:r>
      <w:r>
        <w:rPr>
          <w:rtl w:val="true"/>
        </w:rPr>
        <w:t>בדואני ובטולדאנו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הורשע גם באותן </w:t>
      </w:r>
      <w:r>
        <w:rPr>
          <w:rtl w:val="true"/>
        </w:rPr>
        <w:t>"</w:t>
      </w:r>
      <w:r>
        <w:rPr>
          <w:rtl w:val="true"/>
        </w:rPr>
        <w:t>עבירות מצורפות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בעבירת איומים על סוהר והחזקת סכין בבית המעצר</w:t>
      </w:r>
      <w:r>
        <w:rPr>
          <w:rtl w:val="true"/>
        </w:rPr>
        <w:t xml:space="preserve">, </w:t>
      </w:r>
      <w:r>
        <w:rPr>
          <w:rtl w:val="true"/>
        </w:rPr>
        <w:t xml:space="preserve">כמפורט בסעיף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לגזר דין זה לעיל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ספק כי גם עבירה זו הינה חמורה</w:t>
      </w:r>
      <w:r>
        <w:rPr>
          <w:rtl w:val="true"/>
        </w:rPr>
        <w:t xml:space="preserve">, </w:t>
      </w:r>
      <w:r>
        <w:rPr>
          <w:rtl w:val="true"/>
        </w:rPr>
        <w:t>והתנהגותו של הנאשם בה מבטאת אותו זילזול באושיות החוק והמשפט</w:t>
      </w:r>
      <w:r>
        <w:rPr>
          <w:rtl w:val="true"/>
        </w:rPr>
        <w:t xml:space="preserve">, </w:t>
      </w:r>
      <w:r>
        <w:rPr>
          <w:rtl w:val="true"/>
        </w:rPr>
        <w:t>כפי שהופגן בביצוע שתי עבירות הירי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בפני טען סניגורו של הנאשם</w:t>
      </w:r>
      <w:r>
        <w:rPr>
          <w:rtl w:val="true"/>
        </w:rPr>
        <w:t xml:space="preserve">, </w:t>
      </w:r>
      <w:r>
        <w:rPr>
          <w:rtl w:val="true"/>
        </w:rPr>
        <w:t>כי זה החזיק בסכין בהיותו טעון הגנה ולשם הגנה עצמית</w:t>
      </w:r>
      <w:r>
        <w:rPr>
          <w:rtl w:val="true"/>
        </w:rPr>
        <w:t xml:space="preserve">; </w:t>
      </w:r>
      <w:r>
        <w:rPr>
          <w:rtl w:val="true"/>
        </w:rPr>
        <w:t>וכי כלל לא התכוון לפגוע באותו סוהר</w:t>
      </w:r>
      <w:r>
        <w:rPr>
          <w:rtl w:val="true"/>
        </w:rPr>
        <w:t xml:space="preserve">, </w:t>
      </w:r>
      <w:r>
        <w:rPr>
          <w:rtl w:val="true"/>
        </w:rPr>
        <w:t>וכל דבריו לא היו אלא מהשפה ולחוץ</w:t>
      </w:r>
      <w:r>
        <w:rPr>
          <w:rtl w:val="true"/>
        </w:rPr>
        <w:t xml:space="preserve">; </w:t>
      </w:r>
      <w:r>
        <w:rPr>
          <w:rtl w:val="true"/>
        </w:rPr>
        <w:t>וכי את הדברים התריס</w:t>
      </w:r>
      <w:r>
        <w:rPr>
          <w:rtl w:val="true"/>
        </w:rPr>
        <w:t xml:space="preserve">, </w:t>
      </w:r>
      <w:r>
        <w:rPr>
          <w:rtl w:val="true"/>
        </w:rPr>
        <w:t>בעידנא דריתחא</w:t>
      </w:r>
      <w:r>
        <w:rPr>
          <w:rtl w:val="true"/>
        </w:rPr>
        <w:t xml:space="preserve">, </w:t>
      </w:r>
      <w:r>
        <w:rPr>
          <w:rtl w:val="true"/>
        </w:rPr>
        <w:t>לעבר אותו סוהר על שום שזה לא היה ער לכך שעציר אחר עמד לדקור</w:t>
      </w:r>
      <w:r>
        <w:rPr>
          <w:rtl w:val="true"/>
        </w:rPr>
        <w:t xml:space="preserve">, </w:t>
      </w:r>
      <w:r>
        <w:rPr>
          <w:rtl w:val="true"/>
        </w:rPr>
        <w:t>באותה עת ובאותו מעמד</w:t>
      </w:r>
      <w:r>
        <w:rPr>
          <w:rtl w:val="true"/>
        </w:rPr>
        <w:t xml:space="preserve">, </w:t>
      </w:r>
      <w:r>
        <w:rPr>
          <w:rtl w:val="true"/>
        </w:rPr>
        <w:t>את הנאשם עצמו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נגד הנאשם תלוי ועומד מאסר מותנה למשך שישה חודשים</w:t>
      </w:r>
      <w:r>
        <w:rPr>
          <w:rtl w:val="true"/>
        </w:rPr>
        <w:t xml:space="preserve">, </w:t>
      </w:r>
      <w:r>
        <w:rPr>
          <w:rtl w:val="true"/>
        </w:rPr>
        <w:t>שהינו בר הפעלה ביחס לעבירת האיומים</w:t>
      </w:r>
      <w:r>
        <w:rPr>
          <w:rtl w:val="true"/>
        </w:rPr>
        <w:t xml:space="preserve">, </w:t>
      </w:r>
      <w:r>
        <w:rPr>
          <w:rtl w:val="true"/>
        </w:rPr>
        <w:t>ובדעתי להורות על הפעלתו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ומשאין להוציא מכלל אפשרות סבירה</w:t>
      </w:r>
      <w:r>
        <w:rPr>
          <w:rtl w:val="true"/>
        </w:rPr>
        <w:t xml:space="preserve">, </w:t>
      </w:r>
      <w:r>
        <w:rPr>
          <w:rtl w:val="true"/>
        </w:rPr>
        <w:t>כי במכלול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שהיה דן את הנאשם מאוחר יותר בגין העבירות נשוא אירוע זה שבבית המעצר </w:t>
      </w:r>
      <w:r>
        <w:rPr>
          <w:rtl w:val="true"/>
        </w:rPr>
        <w:t>(</w:t>
      </w:r>
      <w:r>
        <w:rPr>
          <w:rtl w:val="true"/>
        </w:rPr>
        <w:t>אם לא היה מבקש הנאשם לצרפן לכאן</w:t>
      </w:r>
      <w:r>
        <w:rPr>
          <w:rtl w:val="true"/>
        </w:rPr>
        <w:t xml:space="preserve">, </w:t>
      </w:r>
      <w:r>
        <w:rPr>
          <w:rtl w:val="true"/>
        </w:rPr>
        <w:t>ובמידה והיה מורשע בהן</w:t>
      </w:r>
      <w:r>
        <w:rPr>
          <w:rtl w:val="true"/>
        </w:rPr>
        <w:t xml:space="preserve">) </w:t>
      </w:r>
      <w:r>
        <w:rPr>
          <w:rtl w:val="true"/>
        </w:rPr>
        <w:t>היה מורה</w:t>
      </w:r>
      <w:r>
        <w:rPr>
          <w:rtl w:val="true"/>
        </w:rPr>
        <w:t xml:space="preserve">, </w:t>
      </w:r>
      <w:r>
        <w:rPr>
          <w:rtl w:val="true"/>
        </w:rPr>
        <w:t>מסתמא</w:t>
      </w:r>
      <w:r>
        <w:rPr>
          <w:rtl w:val="true"/>
        </w:rPr>
        <w:t xml:space="preserve">,  </w:t>
      </w:r>
      <w:r>
        <w:rPr>
          <w:rtl w:val="true"/>
        </w:rPr>
        <w:t>על נשיאת המאסר</w:t>
      </w:r>
      <w:r>
        <w:rPr>
          <w:rtl w:val="true"/>
        </w:rPr>
        <w:t xml:space="preserve">, </w:t>
      </w:r>
      <w:r>
        <w:rPr>
          <w:rtl w:val="true"/>
        </w:rPr>
        <w:t>שהיה מטיל עליו</w:t>
      </w:r>
      <w:r>
        <w:rPr>
          <w:rtl w:val="true"/>
        </w:rPr>
        <w:t xml:space="preserve">, </w:t>
      </w:r>
      <w:r>
        <w:rPr>
          <w:rtl w:val="true"/>
        </w:rPr>
        <w:t xml:space="preserve">בחופף לתקופת המאסר שהוא מרצה וירצה בגין העבירות נשוא התיק דנן </w:t>
      </w:r>
      <w:r>
        <w:rPr>
          <w:rtl w:val="true"/>
        </w:rPr>
        <w:t xml:space="preserve">- </w:t>
      </w:r>
      <w:r>
        <w:rPr>
          <w:rtl w:val="true"/>
        </w:rPr>
        <w:t xml:space="preserve">הן העבירות נשוא שני אירועי הירי </w:t>
      </w:r>
      <w:r>
        <w:rPr>
          <w:rtl w:val="true"/>
        </w:rPr>
        <w:t xml:space="preserve">- </w:t>
      </w:r>
      <w:r>
        <w:rPr>
          <w:rtl w:val="true"/>
        </w:rPr>
        <w:t>בדעתי להורות על חפיפת עונשים אלו</w:t>
      </w:r>
      <w:r>
        <w:rPr>
          <w:rtl w:val="true"/>
        </w:rPr>
        <w:t xml:space="preserve">, </w:t>
      </w:r>
      <w:r>
        <w:rPr>
          <w:rtl w:val="true"/>
        </w:rPr>
        <w:t>ובעיקר על שום אותה כוונה לעודד את הנאשם לעלות על דרך המלך ולהראותו אור בקצה המינהרה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ולאור כל האמור לעיל</w:t>
      </w:r>
      <w:r>
        <w:rPr>
          <w:rtl w:val="true"/>
        </w:rPr>
        <w:t xml:space="preserve">, </w:t>
      </w:r>
      <w:r>
        <w:rPr>
          <w:rtl w:val="true"/>
        </w:rPr>
        <w:t>אני משית על הנאשם את העונשים הבאים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tl w:val="true"/>
        </w:rPr>
        <w:t xml:space="preserve">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 xml:space="preserve">בגין כלל העבירות נשוא תיק זה </w:t>
      </w:r>
      <w:r>
        <w:rPr>
          <w:rtl w:val="true"/>
        </w:rPr>
        <w:t>(</w:t>
      </w:r>
      <w:r>
        <w:rPr>
          <w:rtl w:val="true"/>
        </w:rPr>
        <w:t>הנוגעות לשני אירועי הירי והכרוך בהם</w:t>
      </w:r>
      <w:r>
        <w:rPr>
          <w:rtl w:val="true"/>
        </w:rPr>
        <w:t xml:space="preserve">), </w:t>
      </w:r>
      <w:r>
        <w:rPr>
          <w:rtl w:val="true"/>
        </w:rPr>
        <w:t xml:space="preserve">וכמפורט </w:t>
      </w:r>
      <w:r>
        <w:rPr>
          <w:b/>
          <w:b/>
          <w:bCs/>
          <w:rtl w:val="true"/>
        </w:rPr>
        <w:t xml:space="preserve">בסעיף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לגזר דין זה לעיל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אני גוזר על הנאשם שש וחצי 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וזאת החל ביום מעצרו </w:t>
      </w:r>
      <w:r>
        <w:rPr>
          <w:rtl w:val="true"/>
        </w:rPr>
        <w:t>(</w:t>
      </w:r>
      <w:r>
        <w:rPr>
          <w:b/>
          <w:bCs/>
        </w:rPr>
        <w:t>26.5.97</w:t>
      </w:r>
      <w:r>
        <w:rPr>
          <w:rtl w:val="true"/>
        </w:rPr>
        <w:t>).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ובנוסף אני גוזר על הנאשם</w:t>
      </w:r>
      <w:r>
        <w:rPr>
          <w:rtl w:val="true"/>
        </w:rPr>
        <w:t xml:space="preserve">, </w:t>
      </w:r>
      <w:r>
        <w:rPr>
          <w:rtl w:val="true"/>
        </w:rPr>
        <w:t>בגין העבירות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והתנאי הוא אם יעבור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שיחרורו ממאסרו</w:t>
      </w:r>
      <w:r>
        <w:rPr>
          <w:rtl w:val="true"/>
        </w:rPr>
        <w:t xml:space="preserve">, </w:t>
      </w:r>
      <w:r>
        <w:rPr>
          <w:rtl w:val="true"/>
        </w:rPr>
        <w:t>כל עבירה שהיא פשע</w:t>
      </w:r>
      <w:r>
        <w:rPr>
          <w:rtl w:val="true"/>
        </w:rPr>
        <w:t>.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 xml:space="preserve">בגין העבירות המצורפות </w:t>
      </w:r>
      <w:r>
        <w:rPr>
          <w:rtl w:val="true"/>
        </w:rPr>
        <w:t>(</w:t>
      </w:r>
      <w:r>
        <w:rPr>
          <w:rtl w:val="true"/>
        </w:rPr>
        <w:t xml:space="preserve">נשוא תיק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1515/98</w:t>
      </w:r>
      <w:r>
        <w:rPr>
          <w:rtl w:val="true"/>
        </w:rPr>
        <w:t xml:space="preserve"> </w:t>
      </w:r>
      <w:r>
        <w:rPr>
          <w:rtl w:val="true"/>
        </w:rPr>
        <w:t>של בית המשפט השלום באשקלון</w:t>
      </w:r>
      <w:r>
        <w:rPr>
          <w:rtl w:val="true"/>
        </w:rPr>
        <w:t xml:space="preserve">), </w:t>
      </w:r>
      <w:r>
        <w:rPr>
          <w:rtl w:val="true"/>
        </w:rPr>
        <w:t xml:space="preserve">וכמפורט </w:t>
      </w:r>
      <w:r>
        <w:rPr>
          <w:b/>
          <w:b/>
          <w:bCs/>
          <w:rtl w:val="true"/>
        </w:rPr>
        <w:t xml:space="preserve">בסעיף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לגזר דין זה לעיל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אני גוזר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וכן אני מורה על הפעלת המאסר המותנה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שהוטל עליו בגזר הדין מיום </w:t>
      </w:r>
      <w:r>
        <w:rPr/>
        <w:t>7.1.96</w:t>
      </w:r>
      <w:r>
        <w:rPr>
          <w:rtl w:val="true"/>
        </w:rPr>
        <w:t xml:space="preserve"> </w:t>
      </w:r>
      <w:r>
        <w:rPr>
          <w:rtl w:val="true"/>
        </w:rPr>
        <w:t xml:space="preserve">בתיק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715/95</w:t>
      </w:r>
      <w:r>
        <w:rPr>
          <w:rtl w:val="true"/>
        </w:rPr>
        <w:t xml:space="preserve"> </w:t>
      </w:r>
      <w:r>
        <w:rPr>
          <w:rtl w:val="true"/>
        </w:rPr>
        <w:t>של בית המשפט השלום באשקלון</w:t>
      </w:r>
      <w:r>
        <w:rPr>
          <w:rtl w:val="true"/>
        </w:rPr>
        <w:t>.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start="567" w:end="0"/>
        <w:jc w:val="both"/>
        <w:rPr/>
      </w:pPr>
      <w:r>
        <w:rPr>
          <w:rtl w:val="true"/>
        </w:rPr>
        <w:t>את שלושת תקופות המאסר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כאמור בסעיף קטן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ירצה הנאשם באופן חופף זו לזו</w:t>
      </w:r>
      <w:r>
        <w:rPr>
          <w:rtl w:val="true"/>
        </w:rPr>
        <w:t xml:space="preserve">, </w:t>
      </w:r>
      <w:r>
        <w:rPr>
          <w:rtl w:val="true"/>
        </w:rPr>
        <w:t>כך שמלוא תקופת המאסר על פי גזר דין זה תעמוד על שש שנים ומחצה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מעצרו </w:t>
      </w:r>
      <w:r>
        <w:rPr>
          <w:rtl w:val="true"/>
        </w:rPr>
        <w:t>(</w:t>
      </w:r>
      <w:r>
        <w:rPr/>
        <w:t>26.5.97</w:t>
      </w:r>
      <w:r>
        <w:rPr>
          <w:rtl w:val="true"/>
        </w:rPr>
        <w:t xml:space="preserve">),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 xml:space="preserve">בשולי גזר דין זה מבקש אני להפנות תשומת לב שירות בתי הסוהר לעובדת היותו של הנאשם טעון הגנה </w:t>
      </w:r>
      <w:r>
        <w:rPr>
          <w:rtl w:val="true"/>
        </w:rPr>
        <w:t xml:space="preserve">- </w:t>
      </w:r>
      <w:r>
        <w:rPr>
          <w:rtl w:val="true"/>
        </w:rPr>
        <w:t>על כל המשתמע מכך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מופנית תשומת לב שלטונות השב</w:t>
      </w:r>
      <w:r>
        <w:rPr>
          <w:rtl w:val="true"/>
        </w:rPr>
        <w:t>"</w:t>
      </w:r>
      <w:r>
        <w:rPr>
          <w:rtl w:val="true"/>
        </w:rPr>
        <w:t>ס כי עקב משך תקופת המאסר שהוטלה על הנאשם ומאחר שמאסר זה הינו מיום מעצרו</w:t>
      </w:r>
      <w:r>
        <w:rPr>
          <w:rtl w:val="true"/>
        </w:rPr>
        <w:t xml:space="preserve">, </w:t>
      </w:r>
      <w:r>
        <w:rPr>
          <w:rtl w:val="true"/>
        </w:rPr>
        <w:t>הרי שחלפה זה מכבר תקופת הרבע של המאסר על כל המשתמע מכך לענין חופשות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הודעה לנאשם זכותו לערעור בפני בית 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/>
          <w:bCs/>
          <w:rtl w:val="true"/>
        </w:rPr>
        <w:t>ניתן היום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b/>
          <w:b/>
          <w:bCs/>
          <w:rtl w:val="true"/>
        </w:rPr>
        <w:t xml:space="preserve"> יא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בסיון 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,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במאי </w:t>
      </w:r>
      <w:r>
        <w:rPr>
          <w:b/>
          <w:bCs/>
        </w:rPr>
        <w:t>1999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 הנאשם ובאי כוח הצדדים</w:t>
      </w:r>
      <w:r>
        <w:rPr>
          <w:b/>
          <w:bCs/>
          <w:rtl w:val="true"/>
        </w:rPr>
        <w:t>.</w:t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הותר לפרסום </w:t>
      </w:r>
    </w:p>
    <w:tbl>
      <w:tblPr>
        <w:bidiVisual w:val="true"/>
        <w:tblW w:w="189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96"/>
      </w:tblGrid>
      <w:tr>
        <w:trPr/>
        <w:tc>
          <w:tcPr>
            <w:tcW w:w="1896" w:type="dxa"/>
            <w:tcBorders>
              <w:top w:val="single" w:sz="6" w:space="0" w:color="000000"/>
            </w:tcBorders>
          </w:tcPr>
          <w:p>
            <w:pPr>
              <w:pStyle w:val="1"/>
              <w:ind w:end="0"/>
              <w:jc w:val="center"/>
              <w:rPr/>
            </w:pPr>
            <w:r>
              <w:rPr>
                <w:rtl w:val="true"/>
              </w:rPr>
              <w:t xml:space="preserve">חביב עמר </w:t>
            </w:r>
            <w:r>
              <w:rPr>
                <w:rtl w:val="true"/>
              </w:rPr>
              <w:t xml:space="preserve">- 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hanging="567" w:start="567"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אדם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אני מבקש צו לגבי החזר מוצגים</w:t>
      </w:r>
      <w:r>
        <w:rPr>
          <w:rtl w:val="true"/>
        </w:rPr>
        <w:t xml:space="preserve">, </w:t>
      </w:r>
      <w:r>
        <w:rPr>
          <w:rtl w:val="true"/>
        </w:rPr>
        <w:t>קליעים ותרמילים להחזיר למעבדת הנשק</w:t>
      </w:r>
      <w:r>
        <w:rPr>
          <w:rtl w:val="true"/>
        </w:rPr>
        <w:t xml:space="preserve">, </w:t>
      </w:r>
      <w:r>
        <w:rPr>
          <w:rtl w:val="true"/>
        </w:rPr>
        <w:t>תחמושת חיה להחזיר לרשויות הבטחון</w:t>
      </w:r>
      <w:r>
        <w:rPr>
          <w:rtl w:val="true"/>
        </w:rPr>
        <w:t xml:space="preserve">, </w:t>
      </w:r>
      <w:r>
        <w:rPr>
          <w:rtl w:val="true"/>
        </w:rPr>
        <w:t>קלטות להחזיר למשטרה לשימוש חוזר</w:t>
      </w:r>
      <w:r>
        <w:rPr>
          <w:rtl w:val="true"/>
        </w:rPr>
        <w:t xml:space="preserve">, </w:t>
      </w:r>
      <w:r>
        <w:rPr>
          <w:rtl w:val="true"/>
        </w:rPr>
        <w:t>להשמיד סכין</w:t>
      </w:r>
      <w:r>
        <w:rPr>
          <w:rtl w:val="true"/>
        </w:rPr>
        <w:t xml:space="preserve">, </w:t>
      </w:r>
      <w:r>
        <w:rPr>
          <w:rtl w:val="true"/>
        </w:rPr>
        <w:t xml:space="preserve">ולהחזיר בגדים לבעליהם ובמידה והבעלים לא יאותרו </w:t>
      </w:r>
      <w:r>
        <w:rPr>
          <w:rtl w:val="true"/>
        </w:rPr>
        <w:t xml:space="preserve">- </w:t>
      </w:r>
      <w:r>
        <w:rPr>
          <w:rtl w:val="true"/>
        </w:rPr>
        <w:t>יושמדו הבגדים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לילוף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אין התנגדות</w:t>
      </w:r>
      <w:r>
        <w:rPr>
          <w:rtl w:val="true"/>
        </w:rPr>
        <w:t xml:space="preserve">, </w:t>
      </w:r>
      <w:r>
        <w:rPr>
          <w:rtl w:val="true"/>
        </w:rPr>
        <w:t>ומלבד שהצו יכנס לתוקף לאחר חלוף הזמן שעומד לרשות הצדדים לערעור</w:t>
      </w:r>
      <w:r>
        <w:rPr>
          <w:rtl w:val="true"/>
        </w:rPr>
        <w:t xml:space="preserve">. </w:t>
      </w:r>
    </w:p>
    <w:p>
      <w:pPr>
        <w:pStyle w:val="Heading1"/>
        <w:ind w:end="0"/>
        <w:jc w:val="center"/>
        <w:rPr/>
      </w:pPr>
      <w:bookmarkStart w:id="10" w:name="Hachlata1"/>
      <w:bookmarkEnd w:id="10"/>
      <w:r>
        <w:rPr>
          <w:rtl w:val="true"/>
        </w:rPr>
        <w:t xml:space="preserve">צו </w:t>
      </w:r>
    </w:p>
    <w:p>
      <w:pPr>
        <w:pStyle w:val="Style16"/>
        <w:ind w:end="0"/>
        <w:jc w:val="start"/>
        <w:rPr/>
      </w:pPr>
      <w:r>
        <w:rPr>
          <w:rtl w:val="true"/>
        </w:rPr>
      </w:r>
    </w:p>
    <w:p>
      <w:pPr>
        <w:pStyle w:val="Style16"/>
        <w:ind w:end="0"/>
        <w:jc w:val="start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Style16"/>
        <w:ind w:end="0"/>
        <w:jc w:val="start"/>
        <w:rPr/>
      </w:pPr>
      <w:r>
        <w:rPr>
          <w:rtl w:val="true"/>
        </w:rPr>
      </w:r>
    </w:p>
    <w:p>
      <w:pPr>
        <w:pStyle w:val="Style16"/>
        <w:ind w:end="0"/>
        <w:jc w:val="start"/>
        <w:rPr/>
      </w:pPr>
      <w:r>
        <w:rPr>
          <w:rtl w:val="true"/>
        </w:rPr>
        <w:t>צו זה ייכנס לתוקף בחלוף התקופה העומדת לרשות הצדדים לערעור</w:t>
      </w:r>
      <w:r>
        <w:rPr>
          <w:rtl w:val="true"/>
        </w:rPr>
        <w:t xml:space="preserve">, </w:t>
      </w:r>
      <w:r>
        <w:rPr>
          <w:rtl w:val="true"/>
        </w:rPr>
        <w:t xml:space="preserve">ואם יוגש ערעור </w:t>
      </w:r>
      <w:r>
        <w:rPr>
          <w:rtl w:val="true"/>
        </w:rPr>
        <w:t xml:space="preserve">- </w:t>
      </w:r>
      <w:r>
        <w:rPr>
          <w:rtl w:val="true"/>
        </w:rPr>
        <w:t>עד להכרעה בו</w:t>
      </w:r>
      <w:r>
        <w:rPr>
          <w:rtl w:val="true"/>
        </w:rPr>
        <w:t xml:space="preserve">. </w:t>
      </w:r>
    </w:p>
    <w:p>
      <w:pPr>
        <w:pStyle w:val="Style16"/>
        <w:ind w:end="0"/>
        <w:jc w:val="start"/>
        <w:rPr/>
      </w:pPr>
      <w:r>
        <w:rPr>
          <w:rtl w:val="true"/>
        </w:rPr>
      </w:r>
    </w:p>
    <w:p>
      <w:pPr>
        <w:pStyle w:val="Style16"/>
        <w:ind w:end="0"/>
        <w:jc w:val="start"/>
        <w:rPr/>
      </w:pPr>
      <w:r>
        <w:rPr>
          <w:rtl w:val="true"/>
        </w:rPr>
        <w:t>ניתנה 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בסיון 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, (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במאי </w:t>
      </w:r>
      <w:r>
        <w:rPr/>
        <w:t>1999</w:t>
      </w:r>
      <w:r>
        <w:rPr>
          <w:rtl w:val="true"/>
        </w:rPr>
        <w:t xml:space="preserve">), </w:t>
      </w:r>
      <w:r>
        <w:rPr>
          <w:rtl w:val="true"/>
        </w:rPr>
        <w:t>במעמד הצדדים</w:t>
      </w:r>
      <w:r>
        <w:rPr>
          <w:rtl w:val="true"/>
        </w:rPr>
        <w:t>.</w:t>
      </w:r>
    </w:p>
    <w:p>
      <w:pPr>
        <w:pStyle w:val="Style16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Style16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6"/>
        <w:keepNext w:val="true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</w:r>
    </w:p>
    <w:p>
      <w:pPr>
        <w:pStyle w:val="Style16"/>
        <w:keepNext w:val="true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ascii="David" w:hAnsi="David" w:cs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 xml:space="preserve">חביב עמר </w:t>
      </w:r>
      <w:r>
        <w:rPr>
          <w:rFonts w:cs="David" w:ascii="David" w:hAnsi="David"/>
          <w:b w:val="false"/>
          <w:bCs w:val="false"/>
          <w:color w:val="000000"/>
          <w:sz w:val="22"/>
          <w:szCs w:val="22"/>
        </w:rPr>
        <w:t>54678313-8069/97</w:t>
      </w:r>
    </w:p>
    <w:p>
      <w:pPr>
        <w:pStyle w:val="Style16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189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96"/>
      </w:tblGrid>
      <w:tr>
        <w:trPr/>
        <w:tc>
          <w:tcPr>
            <w:tcW w:w="1896" w:type="dxa"/>
            <w:tcBorders>
              <w:top w:val="single" w:sz="6" w:space="0" w:color="000000"/>
            </w:tcBorders>
          </w:tcPr>
          <w:p>
            <w:pPr>
              <w:pStyle w:val="1"/>
              <w:ind w:end="0"/>
              <w:jc w:val="center"/>
              <w:rPr/>
            </w:pPr>
            <w:r>
              <w:rPr>
                <w:rtl w:val="true"/>
              </w:rPr>
              <w:t xml:space="preserve">חביב עמר </w:t>
            </w:r>
            <w:r>
              <w:rPr>
                <w:rtl w:val="true"/>
              </w:rPr>
              <w:t xml:space="preserve">- 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Style16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Style16"/>
        <w:ind w:end="0"/>
        <w:jc w:val="start"/>
        <w:rPr/>
      </w:pPr>
      <w:r>
        <w:rPr>
          <w:color w:val="FFFFFF"/>
          <w:sz w:val="4"/>
          <w:szCs w:val="4"/>
        </w:rPr>
        <w:t>5129371</w:t>
      </w:r>
    </w:p>
    <w:p>
      <w:pPr>
        <w:pStyle w:val="Style16"/>
        <w:ind w:end="0"/>
        <w:jc w:val="start"/>
        <w:rPr/>
      </w:pPr>
      <w:r>
        <w:rPr>
          <w:rtl w:val="true"/>
        </w:rPr>
      </w:r>
      <w:bookmarkStart w:id="11" w:name="Hachlata1"/>
      <w:bookmarkStart w:id="12" w:name="Hachlata1"/>
      <w:bookmarkEnd w:id="12"/>
    </w:p>
    <w:p>
      <w:pPr>
        <w:pStyle w:val="Style16"/>
        <w:ind w:end="0"/>
        <w:jc w:val="start"/>
        <w:rPr/>
      </w:pPr>
      <w:r>
        <w:rPr>
          <w:rtl w:val="true"/>
        </w:rPr>
      </w:r>
    </w:p>
    <w:p>
      <w:pPr>
        <w:pStyle w:val="Style16"/>
        <w:ind w:end="0"/>
        <w:jc w:val="start"/>
        <w:rPr/>
      </w:pPr>
      <w:r>
        <w:rPr>
          <w:rtl w:val="true"/>
        </w:rPr>
        <w:t xml:space="preserve">מיכל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g00806997p.doc</w:t>
      </w:r>
      <w:r>
        <w:rPr>
          <w:rtl w:val="true"/>
        </w:rPr>
        <w:fldChar w:fldCharType="end"/>
      </w:r>
    </w:p>
    <w:p>
      <w:pPr>
        <w:pStyle w:val="Style16"/>
        <w:ind w:end="0"/>
        <w:jc w:val="start"/>
        <w:rPr/>
      </w:pPr>
      <w:r>
        <w:rPr>
          <w:rtl w:val="true"/>
        </w:rPr>
      </w:r>
    </w:p>
    <w:p>
      <w:pPr>
        <w:pStyle w:val="Style16"/>
        <w:ind w:end="0"/>
        <w:jc w:val="start"/>
        <w:rPr/>
      </w:pPr>
      <w:r>
        <w:rPr>
          <w:rtl w:val="true"/>
        </w:rPr>
        <w:t>נוסח זה כפוף לשינויי עריכה וניסוח</w:t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720" w:top="2268" w:footer="720" w:bottom="1440"/>
      <w:lnNumType w:countBy="1" w:restart="newPage" w:distance="283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color w:val="000000"/>
        <w:sz w:val="28"/>
        <w:sz w:val="28"/>
        <w:szCs w:val="22"/>
        <w:rtl w:val="true"/>
      </w:rPr>
      <w:t>נבו הוצאה לאור בע</w:t>
    </w:r>
    <w:r>
      <w:rPr>
        <w:color w:val="000000"/>
        <w:sz w:val="28"/>
        <w:szCs w:val="22"/>
        <w:rtl w:val="true"/>
      </w:rPr>
      <w:t>"</w:t>
    </w:r>
    <w:r>
      <w:rPr>
        <w:color w:val="000000"/>
        <w:sz w:val="28"/>
        <w:sz w:val="28"/>
        <w:szCs w:val="22"/>
        <w:rtl w:val="true"/>
      </w:rPr>
      <w:t xml:space="preserve">מ  </w:t>
    </w:r>
    <w:r>
      <w:rPr>
        <w:color w:val="000000"/>
        <w:sz w:val="28"/>
        <w:szCs w:val="22"/>
      </w:rPr>
      <w:t>nevo.co.il</w:t>
    </w:r>
    <w:r>
      <w:rPr>
        <w:color w:val="000000"/>
        <w:sz w:val="28"/>
        <w:szCs w:val="22"/>
        <w:rtl w:val="true"/>
      </w:rPr>
      <w:t xml:space="preserve">   </w:t>
    </w:r>
    <w:r>
      <w:rPr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color w:val="000000"/>
        <w:sz w:val="14"/>
        <w:szCs w:val="14"/>
      </w:rPr>
    </w:pPr>
    <w:r>
      <w:rPr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color w:val="000000"/>
      </w:rPr>
      <w:instrText xml:space="preserve"> FILENAME \p </w:instrText>
    </w:r>
    <w:r>
      <w:rPr>
        <w:rtl w:val="true"/>
        <w:sz w:val="14"/>
        <w:szCs w:val="14"/>
        <w:color w:val="000000"/>
      </w:rPr>
      <w:fldChar w:fldCharType="separate"/>
    </w:r>
    <w:r>
      <w:rPr>
        <w:rtl w:val="true"/>
        <w:sz w:val="14"/>
        <w:szCs w:val="14"/>
        <w:color w:val="000000"/>
      </w:rPr>
      <w:t>/Users/liorb/Downloads/study2025-p2/g00806997p.doc</w:t>
    </w:r>
    <w:r>
      <w:rPr>
        <w:rtl w:val="true"/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8069/97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יורם מזרחי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Times New Roman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1">
    <w:name w:val="חתימה1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7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11">
    <w:name w:val="רגיל1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Style15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6">
    <w:name w:val="החלטה"/>
    <w:basedOn w:val="11"/>
    <w:qFormat/>
    <w:pPr>
      <w:ind w:hanging="0" w:start="0" w:end="0"/>
      <w:jc w:val="start"/>
    </w:pPr>
    <w:rPr>
      <w:b/>
      <w:bCs/>
    </w:rPr>
  </w:style>
  <w:style w:type="paragraph" w:styleId="Style17">
    <w:name w:val="תשובה"/>
    <w:basedOn w:val="Normal"/>
    <w:next w:val="Style18"/>
    <w:qFormat/>
    <w:pPr>
      <w:ind w:hanging="567" w:start="567" w:end="0"/>
      <w:jc w:val="both"/>
    </w:pPr>
    <w:rPr/>
  </w:style>
  <w:style w:type="paragraph" w:styleId="Style18">
    <w:name w:val="תשובה מוזח"/>
    <w:basedOn w:val="Style17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9">
    <w:name w:val="עד"/>
    <w:basedOn w:val="11"/>
    <w:qFormat/>
    <w:pPr>
      <w:ind w:hanging="0" w:start="0" w:end="0"/>
      <w:jc w:val="start"/>
    </w:pPr>
    <w:rPr>
      <w:bCs/>
      <w:u w:val="single"/>
    </w:rPr>
  </w:style>
  <w:style w:type="paragraph" w:styleId="Style20">
    <w:name w:val="חקירה"/>
    <w:basedOn w:val="Style19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186" TargetMode="External"/><Relationship Id="rId18" Type="http://schemas.openxmlformats.org/officeDocument/2006/relationships/hyperlink" Target="http://www.nevo.co.il/case/7932168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00806997p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2018-01-29T10:06:00Z</dcterms:created>
  <dc:creator> </dc:creator>
  <dc:description/>
  <cp:keywords/>
  <dc:language>en-IL</dc:language>
  <cp:lastModifiedBy>run</cp:lastModifiedBy>
  <cp:lastPrinted>1999-05-27T08:55:00Z</cp:lastPrinted>
  <dcterms:modified xsi:type="dcterms:W3CDTF">2018-01-29T10:06:00Z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יורם מזרחי</vt:lpwstr>
  </property>
  <property fmtid="{D5CDD505-2E9C-101B-9397-08002B2CF9AE}" pid="4" name="CASENOTES1">
    <vt:lpwstr>ProcID=209&amp;PartA=1515&amp;PartC=98</vt:lpwstr>
  </property>
  <property fmtid="{D5CDD505-2E9C-101B-9397-08002B2CF9AE}" pid="5" name="CASENOTES2">
    <vt:lpwstr>ProcID=209&amp;PartA=715&amp;PartC=95</vt:lpwstr>
  </property>
  <property fmtid="{D5CDD505-2E9C-101B-9397-08002B2CF9AE}" pid="6" name="CASENOTES3">
    <vt:lpwstr>ProcID=179&amp;PartA=11&amp;PartC=93</vt:lpwstr>
  </property>
  <property fmtid="{D5CDD505-2E9C-101B-9397-08002B2CF9AE}" pid="7" name="CASESLISTTMP1">
    <vt:lpwstr>7932168</vt:lpwstr>
  </property>
  <property fmtid="{D5CDD505-2E9C-101B-9397-08002B2CF9AE}" pid="8" name="CITY">
    <vt:lpwstr>ב"ש</vt:lpwstr>
  </property>
  <property fmtid="{D5CDD505-2E9C-101B-9397-08002B2CF9AE}" pid="9" name="ConsRoom">
    <vt:lpwstr/>
  </property>
  <property fmtid="{D5CDD505-2E9C-101B-9397-08002B2CF9AE}" pid="10" name="ConsType">
    <vt:lpwstr/>
  </property>
  <property fmtid="{D5CDD505-2E9C-101B-9397-08002B2CF9AE}" pid="11" name="DATE">
    <vt:lpwstr>19990526</vt:lpwstr>
  </property>
  <property fmtid="{D5CDD505-2E9C-101B-9397-08002B2CF9AE}" pid="12" name="DELEMATA">
    <vt:lpwstr/>
  </property>
  <property fmtid="{D5CDD505-2E9C-101B-9397-08002B2CF9AE}" pid="13" name="EndDate">
    <vt:lpwstr>25/05/1999</vt:lpwstr>
  </property>
  <property fmtid="{D5CDD505-2E9C-101B-9397-08002B2CF9AE}" pid="14" name="EndHour">
    <vt:lpwstr>17:10</vt:lpwstr>
  </property>
  <property fmtid="{D5CDD505-2E9C-101B-9397-08002B2CF9AE}" pid="15" name="ISABSTRACT">
    <vt:lpwstr>Y</vt:lpwstr>
  </property>
  <property fmtid="{D5CDD505-2E9C-101B-9397-08002B2CF9AE}" pid="16" name="Judge">
    <vt:lpwstr>חביב עמר</vt:lpwstr>
  </property>
  <property fmtid="{D5CDD505-2E9C-101B-9397-08002B2CF9AE}" pid="17" name="JudgeHatima">
    <vt:lpwstr>חביב עמר -  שופט</vt:lpwstr>
  </property>
  <property fmtid="{D5CDD505-2E9C-101B-9397-08002B2CF9AE}" pid="18" name="LAWLISTTMP1">
    <vt:lpwstr>70301/329.a.1;333;335;025;144.b;192;186</vt:lpwstr>
  </property>
  <property fmtid="{D5CDD505-2E9C-101B-9397-08002B2CF9AE}" pid="19" name="LAWYER">
    <vt:lpwstr>א. אור;י. לילוף</vt:lpwstr>
  </property>
  <property fmtid="{D5CDD505-2E9C-101B-9397-08002B2CF9AE}" pid="20" name="LINKK1">
    <vt:lpwstr/>
  </property>
  <property fmtid="{D5CDD505-2E9C-101B-9397-08002B2CF9AE}" pid="21" name="LINKK10">
    <vt:lpwstr/>
  </property>
  <property fmtid="{D5CDD505-2E9C-101B-9397-08002B2CF9AE}" pid="22" name="LINKK11">
    <vt:lpwstr/>
  </property>
  <property fmtid="{D5CDD505-2E9C-101B-9397-08002B2CF9AE}" pid="23" name="LINKK12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LINKK6">
    <vt:lpwstr/>
  </property>
  <property fmtid="{D5CDD505-2E9C-101B-9397-08002B2CF9AE}" pid="29" name="LINKK7">
    <vt:lpwstr/>
  </property>
  <property fmtid="{D5CDD505-2E9C-101B-9397-08002B2CF9AE}" pid="30" name="LINKK8">
    <vt:lpwstr/>
  </property>
  <property fmtid="{D5CDD505-2E9C-101B-9397-08002B2CF9AE}" pid="31" name="LINKK9">
    <vt:lpwstr/>
  </property>
  <property fmtid="{D5CDD505-2E9C-101B-9397-08002B2CF9AE}" pid="32" name="LastHachlata">
    <vt:r8>1</vt:r8>
  </property>
  <property fmtid="{D5CDD505-2E9C-101B-9397-08002B2CF9AE}" pid="33" name="NEWPARTA">
    <vt:lpwstr/>
  </property>
  <property fmtid="{D5CDD505-2E9C-101B-9397-08002B2CF9AE}" pid="34" name="NEWPARTB">
    <vt:lpwstr/>
  </property>
  <property fmtid="{D5CDD505-2E9C-101B-9397-08002B2CF9AE}" pid="35" name="NEWPARTC">
    <vt:lpwstr/>
  </property>
  <property fmtid="{D5CDD505-2E9C-101B-9397-08002B2CF9AE}" pid="36" name="NEWPROC">
    <vt:lpwstr/>
  </property>
  <property fmtid="{D5CDD505-2E9C-101B-9397-08002B2CF9AE}" pid="37" name="PADIMAIL">
    <vt:lpwstr/>
  </property>
  <property fmtid="{D5CDD505-2E9C-101B-9397-08002B2CF9AE}" pid="38" name="PAGE">
    <vt:lpwstr/>
  </property>
  <property fmtid="{D5CDD505-2E9C-101B-9397-08002B2CF9AE}" pid="39" name="PART">
    <vt:lpwstr/>
  </property>
  <property fmtid="{D5CDD505-2E9C-101B-9397-08002B2CF9AE}" pid="40" name="PROCESS">
    <vt:lpwstr>תפ</vt:lpwstr>
  </property>
  <property fmtid="{D5CDD505-2E9C-101B-9397-08002B2CF9AE}" pid="41" name="PROCNUM">
    <vt:lpwstr>8069</vt:lpwstr>
  </property>
  <property fmtid="{D5CDD505-2E9C-101B-9397-08002B2CF9AE}" pid="42" name="PROCYEAR">
    <vt:lpwstr>97</vt:lpwstr>
  </property>
  <property fmtid="{D5CDD505-2E9C-101B-9397-08002B2CF9AE}" pid="43" name="PSAKDIN">
    <vt:lpwstr>גזר-דין</vt:lpwstr>
  </property>
  <property fmtid="{D5CDD505-2E9C-101B-9397-08002B2CF9AE}" pid="44" name="Pirsum">
    <vt:lpwstr>25/05/1999</vt:lpwstr>
  </property>
  <property fmtid="{D5CDD505-2E9C-101B-9397-08002B2CF9AE}" pid="45" name="Sod">
    <vt:lpwstr>1</vt:lpwstr>
  </property>
  <property fmtid="{D5CDD505-2E9C-101B-9397-08002B2CF9AE}" pid="46" name="StartDate">
    <vt:lpwstr>25/05/1999</vt:lpwstr>
  </property>
  <property fmtid="{D5CDD505-2E9C-101B-9397-08002B2CF9AE}" pid="47" name="StartHour">
    <vt:lpwstr>08:35</vt:lpwstr>
  </property>
  <property fmtid="{D5CDD505-2E9C-101B-9397-08002B2CF9AE}" pid="48" name="StartPage">
    <vt:lpwstr>1</vt:lpwstr>
  </property>
  <property fmtid="{D5CDD505-2E9C-101B-9397-08002B2CF9AE}" pid="49" name="Status">
    <vt:lpwstr>טיוטה</vt:lpwstr>
  </property>
  <property fmtid="{D5CDD505-2E9C-101B-9397-08002B2CF9AE}" pid="50" name="TYPE">
    <vt:lpwstr>2</vt:lpwstr>
  </property>
  <property fmtid="{D5CDD505-2E9C-101B-9397-08002B2CF9AE}" pid="51" name="TYPE_ABS_DATE">
    <vt:lpwstr>390019990526</vt:lpwstr>
  </property>
  <property fmtid="{D5CDD505-2E9C-101B-9397-08002B2CF9AE}" pid="52" name="TYPE_N_DATE">
    <vt:lpwstr>39019990526</vt:lpwstr>
  </property>
  <property fmtid="{D5CDD505-2E9C-101B-9397-08002B2CF9AE}" pid="53" name="Typer">
    <vt:lpwstr>מיכל</vt:lpwstr>
  </property>
  <property fmtid="{D5CDD505-2E9C-101B-9397-08002B2CF9AE}" pid="54" name="VOLUME">
    <vt:lpwstr/>
  </property>
  <property fmtid="{D5CDD505-2E9C-101B-9397-08002B2CF9AE}" pid="55" name="Ver">
    <vt:lpwstr>5</vt:lpwstr>
  </property>
  <property fmtid="{D5CDD505-2E9C-101B-9397-08002B2CF9AE}" pid="56" name="WORDNUMPAGES">
    <vt:lpwstr>12</vt:lpwstr>
  </property>
  <property fmtid="{D5CDD505-2E9C-101B-9397-08002B2CF9AE}" pid="57" name="curName">
    <vt:lpwstr>X:\data\AMAR\00806997p\g00806997p.001</vt:lpwstr>
  </property>
</Properties>
</file>