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8141/97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עמר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>בעניין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אלטמן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מפרקליטות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דרום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אנטולי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פורמן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2" w:name="PsakDin"/>
      <w:bookmarkStart w:id="3" w:name="ABSTRACT_START"/>
      <w:bookmarkStart w:id="4" w:name="PsakDin"/>
      <w:bookmarkStart w:id="5" w:name="ABSTRACT_START"/>
      <w:bookmarkEnd w:id="4"/>
      <w:bookmarkEnd w:id="5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6" w:name="PsakDin"/>
      <w:bookmarkStart w:id="7" w:name="PsakDin"/>
      <w:bookmarkEnd w:id="7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ניהול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הוכחות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>":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לפי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והשניה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מתייחסת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משטרתי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סמוי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ציקלוניט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x.d.r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במשקל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220</w:t>
      </w:r>
      <w:r>
        <w:rPr>
          <w:rFonts w:cs="David"/>
          <w:rtl w:val="true"/>
          <w:lang w:eastAsia="en-US"/>
        </w:rPr>
        <w:t>גר</w:t>
      </w:r>
      <w:r>
        <w:rPr>
          <w:rFonts w:cs="David"/>
          <w:rtl w:val="true"/>
          <w:lang w:eastAsia="en-US"/>
        </w:rPr>
        <w:t>' (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התפוצצות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26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שבכוחו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לפגיעה</w:t>
      </w:r>
      <w:r>
        <w:rPr>
          <w:rtl w:val="true"/>
          <w:lang w:eastAsia="en-US"/>
        </w:rPr>
        <w:t xml:space="preserve"> </w:t>
      </w:r>
      <w:bookmarkStart w:id="8" w:name="ABSTRACT_END"/>
      <w:bookmarkEnd w:id="8"/>
      <w:r>
        <w:rPr>
          <w:rFonts w:cs="David"/>
          <w:rtl w:val="true"/>
          <w:lang w:eastAsia="en-US"/>
        </w:rPr>
        <w:t>גופנית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בהחזקתו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שבכוחו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להמית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נתפס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כדורים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התואמים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דומה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להרחיב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הנפץ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הבטחוני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נתונים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כשחומרי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עויינות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שתעשינה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אסון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הפשיעה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הגואה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מהססים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לחסל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נזקים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לזולתו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נפץ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הפסול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הנפץ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נמסרו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כמובן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כזה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ובאותה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שבאמצעותו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עלולים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החומרים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לצערנו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לנפוצותה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המדאיגה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ובתופעה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ללחום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הולמת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ומרתיעה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[</w:t>
      </w:r>
      <w:r>
        <w:rPr>
          <w:rFonts w:cs="David"/>
          <w:rtl w:val="true"/>
          <w:lang w:eastAsia="en-US"/>
        </w:rPr>
        <w:t>ראה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698/86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סלמן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נסאסרה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תקדין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כרך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87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תשמ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תשמ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1987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467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)]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691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ועיקר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הפוטנציאלי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הקפיד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ההחזקה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שגורמי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הרישוי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הנוגעים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משתכנעים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שבהחזקתו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לרעה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להוסיף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והכדורים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נתאפשרה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ותצפית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מודיעיני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חיסול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קבוצות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יריבות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במהלך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הטיעונים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בסרבו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שלטענתו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דהוא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לנסיבותיו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מגיליון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81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הסתבכותו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ומאחוריו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קודמות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מתחומים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רכוש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סחיטה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ארצה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פיקוח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הנוספות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נטענו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שהינו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23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1992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בהייותו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17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לפעילות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ספורטיבית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ההאבקות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במשקלו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להישגים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בתחרויות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ארציות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ואגב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הסמוי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מהתסקיר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בילדותו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מהפרעות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בהתנהגות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תיסכול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נמוך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וחוסר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תפקוד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ובגיל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בהיותו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בארץ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רוסיה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אושפז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במחלקה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הפסיכיאטרית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בארץ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פסיכיאטרי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הפרעת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אורגנית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והזנחה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וחינוכית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תוארו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כדאגנים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ואיכפתיים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הנראה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התקשו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להשתלט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ולהציב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להתנהגותו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הקורבנות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והזמינים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לגילויי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זעם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תיסכול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והתפרצויות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מצידו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חולני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ומוכר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%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100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מאיבחונים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הקודמות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אובחן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כילדותי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ותלותי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שהתבטאו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בתגובות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אימפולסיביות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רציונאליות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הומלץ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פיקוח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בשיתוף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פסיכיאטריים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ברם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ותקופות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מימוש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בהמשך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הידרדר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לישמוש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בהירואין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בהזרקה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זקוק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ביכולתו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להיגמל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ולטענתו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והגם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התכחש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נחרצות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וסירב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בפרטים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כזכור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בטיעוניו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בסיכום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הכחשותיו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הכחשת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בעייתיות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התייחסות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כשלון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בעבר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- </w:t>
      </w:r>
      <w:r>
        <w:rPr>
          <w:rFonts w:cs="David"/>
          <w:rtl w:val="true"/>
          <w:lang w:eastAsia="en-US"/>
        </w:rPr>
        <w:t>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ששקלתי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כמצואר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הבאים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בניכוי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18.11.97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שיחרורו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25.11</w:t>
      </w:r>
      <w:r>
        <w:rPr>
          <w:rFonts w:cs="David"/>
          <w:rtl w:val="true"/>
          <w:lang w:eastAsia="en-US"/>
        </w:rPr>
        <w:t>..</w:t>
      </w:r>
      <w:r>
        <w:rPr>
          <w:rFonts w:cs="David"/>
          <w:lang w:eastAsia="en-US"/>
        </w:rPr>
        <w:t>98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2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/Users/liorb/Downloads/study2025-p2/M-NoPub-ZC-1-103-L.doc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ב</w:t>
    </w:r>
    <w:r>
      <w:rPr>
        <w:rFonts w:cs="David"/>
        <w:szCs w:val="22"/>
        <w:rtl w:val="true"/>
      </w:rPr>
      <w:t>"</w:t>
    </w:r>
    <w:r>
      <w:rPr>
        <w:rFonts w:cs="David"/>
        <w:szCs w:val="22"/>
        <w:rtl w:val="true"/>
      </w:rPr>
      <w:t>ש</w:t>
    </w:r>
    <w:r>
      <w:rPr>
        <w:rFonts w:cs="David"/>
        <w:szCs w:val="22"/>
        <w:rtl w:val="true"/>
      </w:rPr>
      <w:t xml:space="preserve">)   </w:t>
    </w:r>
    <w:r>
      <w:rPr>
        <w:rFonts w:cs="David"/>
        <w:szCs w:val="22"/>
      </w:rPr>
      <w:t>8141/97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מדינת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ישראל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אנטולי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פורמן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2010-03-14T02:19:00Z</dcterms:created>
  <dc:creator>eli</dc:creator>
  <dc:description/>
  <cp:keywords/>
  <dc:language>en-IL</dc:language>
  <cp:lastModifiedBy>eli</cp:lastModifiedBy>
  <dcterms:modified xsi:type="dcterms:W3CDTF">2010-03-14T02:19:00Z</dcterms:modified>
  <cp:revision>2</cp:revision>
  <dc:subject/>
  <dc:title>בית משפט מחוזי באר שבע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אנטולי פורמן</vt:lpwstr>
  </property>
  <property fmtid="{D5CDD505-2E9C-101B-9397-08002B2CF9AE}" pid="4" name="CITY">
    <vt:lpwstr>ב"ש</vt:lpwstr>
  </property>
  <property fmtid="{D5CDD505-2E9C-101B-9397-08002B2CF9AE}" pid="5" name="DATE">
    <vt:lpwstr>19981125</vt:lpwstr>
  </property>
  <property fmtid="{D5CDD505-2E9C-101B-9397-08002B2CF9AE}" pid="6" name="FICTIVEDATE">
    <vt:lpwstr/>
  </property>
  <property fmtid="{D5CDD505-2E9C-101B-9397-08002B2CF9AE}" pid="7" name="ISABSTRACT">
    <vt:lpwstr>Y</vt:lpwstr>
  </property>
  <property fmtid="{D5CDD505-2E9C-101B-9397-08002B2CF9AE}" pid="8" name="JUDGE">
    <vt:lpwstr>חביב עמר</vt:lpwstr>
  </property>
  <property fmtid="{D5CDD505-2E9C-101B-9397-08002B2CF9AE}" pid="9" name="LAWYER">
    <vt:lpwstr>א. אלטמן;משה לוי</vt:lpwstr>
  </property>
  <property fmtid="{D5CDD505-2E9C-101B-9397-08002B2CF9AE}" pid="10" name="LISHKA">
    <vt:lpwstr>Lishka</vt:lpwstr>
  </property>
  <property fmtid="{D5CDD505-2E9C-101B-9397-08002B2CF9AE}" pid="11" name="PROCESS">
    <vt:lpwstr>תפ</vt:lpwstr>
  </property>
  <property fmtid="{D5CDD505-2E9C-101B-9397-08002B2CF9AE}" pid="12" name="PROCNUM">
    <vt:lpwstr>8141</vt:lpwstr>
  </property>
  <property fmtid="{D5CDD505-2E9C-101B-9397-08002B2CF9AE}" pid="13" name="PROCYEAR">
    <vt:lpwstr>97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WORDNUMPAGES">
    <vt:lpwstr>2</vt:lpwstr>
  </property>
</Properties>
</file>