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"/>
        <w:gridCol w:w="62"/>
        <w:gridCol w:w="2235"/>
        <w:gridCol w:w="112"/>
        <w:gridCol w:w="568"/>
        <w:gridCol w:w="2495"/>
        <w:gridCol w:w="1757"/>
        <w:gridCol w:w="726"/>
        <w:gridCol w:w="636"/>
      </w:tblGrid>
      <w:tr>
        <w:trPr>
          <w:trHeight w:val="195" w:hRule="atLeast"/>
        </w:trPr>
        <w:tc>
          <w:tcPr>
            <w:tcW w:w="119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529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119" w:type="dxa"/>
            <w:gridSpan w:val="2"/>
            <w:tcBorders/>
          </w:tcPr>
          <w:p>
            <w:pPr>
              <w:pStyle w:val="Normal"/>
              <w:rPr>
                <w:rFonts w:cs="Times New Roman"/>
                <w:b/>
                <w:bCs/>
                <w:spacing w:val="110"/>
                <w:sz w:val="40"/>
                <w:szCs w:val="20"/>
              </w:rPr>
            </w:pPr>
            <w:r>
              <w:rPr>
                <w:rFonts w:cs="Times New Roman"/>
                <w:b/>
                <w:bCs/>
                <w:spacing w:val="110"/>
                <w:sz w:val="40"/>
                <w:szCs w:val="20"/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008145/04</w:t>
            </w:r>
          </w:p>
        </w:tc>
        <w:tc>
          <w:tcPr>
            <w:tcW w:w="5614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119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14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119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27/01/2005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497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עטר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אלבחירי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bookmarkStart w:id="11" w:name="בא_כוח_ב"/>
            <w:bookmarkStart w:id="12" w:name="כינוי_ב"/>
            <w:bookmarkEnd w:id="11"/>
            <w:bookmarkEnd w:id="12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גולן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5" w:name="PsakDin"/>
      <w:bookmarkEnd w:id="15"/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bookmarkStart w:id="17" w:name="ABSTRACT_END"/>
      <w:bookmarkEnd w:id="17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8" w:name="סוג_מסמך"/>
      <w:bookmarkStart w:id="19" w:name="סוג_מסמך"/>
      <w:bookmarkEnd w:id="19"/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/>
        <w:t>4/2004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1,000$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30.5.04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)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8.6.04</w:t>
      </w:r>
      <w:r>
        <w:rPr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בראשונה</w:t>
      </w:r>
      <w:r>
        <w:rPr>
          <w:rtl w:val="true"/>
        </w:rPr>
        <w:t xml:space="preserve">)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-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8/04</w:t>
      </w:r>
      <w:r>
        <w:rPr>
          <w:rtl w:val="true"/>
        </w:rPr>
        <w:t xml:space="preserve"> 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;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; </w:t>
      </w:r>
      <w:r>
        <w:rPr>
          <w:rtl w:val="true"/>
        </w:rPr>
        <w:t>ולענין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", 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/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4609/98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716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;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בכך</w:t>
      </w:r>
      <w:r>
        <w:rPr>
          <w:rtl w:val="true"/>
        </w:rPr>
        <w:t xml:space="preserve">, 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</w:t>
      </w:r>
      <w:r>
        <w:rPr>
          <w:rtl w:val="true"/>
        </w:rPr>
        <w:t>ולחומרא</w:t>
      </w:r>
      <w:r>
        <w:rPr>
          <w:rtl w:val="true"/>
        </w:rPr>
        <w:t xml:space="preserve">,  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שנידונו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8057/01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;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ומקלים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ומאחריו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;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ומשכידוע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;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שהתאפיין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30.5.04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20" w:name="Decision1"/>
      <w:bookmarkEnd w:id="20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1" w:name="Decision1"/>
      <w:bookmarkEnd w:id="21"/>
      <w:r>
        <w:rPr/>
        <w:t>08145/04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/Users/liorb/Downloads/study2025-p2/m04008145-524.doc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8145/04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אלבחירי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2005-01-30T06:45:00Z</dcterms:created>
  <dc:creator> </dc:creator>
  <dc:description/>
  <dc:language>en-IL</dc:language>
  <cp:lastModifiedBy>nevo</cp:lastModifiedBy>
  <cp:lastPrinted>2005-01-27T13:15:00Z</cp:lastPrinted>
  <dcterms:modified xsi:type="dcterms:W3CDTF">2005-01-30T08:30:00Z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אלבחירי פואד</vt:lpwstr>
  </property>
  <property fmtid="{D5CDD505-2E9C-101B-9397-08002B2CF9AE}" pid="4" name="CITY">
    <vt:lpwstr>ב"ש</vt:lpwstr>
  </property>
  <property fmtid="{D5CDD505-2E9C-101B-9397-08002B2CF9AE}" pid="5" name="DATE">
    <vt:lpwstr>20050127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י. עטר;ד. גולן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8145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