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008161/07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11/12/2008</w:t>
            </w:r>
          </w:p>
        </w:tc>
      </w:tr>
    </w:tbl>
    <w:p>
      <w:pPr>
        <w:pStyle w:val="Style8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/>
            </w:pPr>
            <w:bookmarkStart w:id="2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/>
            </w:pPr>
            <w:bookmarkStart w:id="3" w:name="שם_ב"/>
            <w:r>
              <w:rPr>
                <w:rtl w:val="true"/>
              </w:rPr>
              <w:t>אלווג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עבדאללה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4" w:name="כינוי_ב"/>
            <w:bookmarkEnd w:id="4"/>
            <w:r>
              <w:rPr>
                <w:rtl w:val="true"/>
              </w:rPr>
              <w:t>נאשם</w:t>
            </w:r>
          </w:p>
        </w:tc>
      </w:tr>
    </w:tbl>
    <w:p>
      <w:pPr>
        <w:pStyle w:val="Style8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8"/>
              <w:ind w:end="0"/>
              <w:jc w:val="both"/>
              <w:rPr>
                <w:szCs w:val="26"/>
              </w:rPr>
            </w:pPr>
            <w:bookmarkStart w:id="5" w:name="FirstLawyer"/>
            <w:bookmarkEnd w:id="5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ענבל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מרוז</w:t>
            </w:r>
          </w:p>
        </w:tc>
      </w:tr>
    </w:tbl>
    <w:p>
      <w:pPr>
        <w:pStyle w:val="1"/>
        <w:suppressLineNumbers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  <w:bookmarkStart w:id="6" w:name="צד_ג"/>
      <w:bookmarkStart w:id="7" w:name="צד_ג"/>
      <w:bookmarkEnd w:id="7"/>
    </w:p>
    <w:p>
      <w:pPr>
        <w:pStyle w:val="1"/>
        <w:suppressLineNumbers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"/>
        </w:rPr>
      </w:pPr>
      <w:r>
        <w:rPr>
          <w:rFonts w:cs="FrankRuehl" w:ascii="FrankRuehl" w:hAnsi="FrankRuehl"/>
          <w:sz w:val="24"/>
          <w:szCs w:val="2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7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43</w:t>
        </w:r>
      </w:hyperlink>
    </w:p>
    <w:p>
      <w:pPr>
        <w:pStyle w:val="Normal"/>
        <w:suppressLineNumbers/>
        <w:ind w:end="0"/>
        <w:jc w:val="both"/>
        <w:rPr>
          <w:rFonts w:ascii="FrankRuehl" w:hAnsi="FrankRuehl" w:cs="FrankRuehl"/>
          <w:sz w:val="2"/>
          <w:szCs w:val="2"/>
        </w:rPr>
      </w:pPr>
      <w:r>
        <w:rPr>
          <w:rFonts w:cs="FrankRuehl" w:ascii="FrankRuehl" w:hAnsi="FrankRuehl"/>
          <w:sz w:val="2"/>
          <w:szCs w:val="2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start="360" w:end="0"/>
        <w:jc w:val="center"/>
        <w:rPr>
          <w:b/>
          <w:bCs/>
          <w:sz w:val="32"/>
          <w:szCs w:val="32"/>
          <w:u w:val="single"/>
        </w:rPr>
      </w:pPr>
      <w:bookmarkStart w:id="12" w:name="LastJudge"/>
      <w:bookmarkStart w:id="13" w:name="PsakDin"/>
      <w:bookmarkStart w:id="14" w:name="סוג_מסמך"/>
      <w:bookmarkEnd w:id="12"/>
      <w:bookmarkEnd w:id="13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bookmarkStart w:id="15" w:name="PsakDin"/>
      <w:bookmarkStart w:id="16" w:name="ABSTRACT_START"/>
      <w:bookmarkEnd w:id="15"/>
      <w:bookmarkEnd w:id="1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bookmarkStart w:id="17" w:name="ABSTRACT_END"/>
      <w:bookmarkEnd w:id="17"/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הסתננות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עבירות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ושיפוט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1954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2.5.07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אלוג</w:t>
      </w:r>
      <w:r>
        <w:rPr>
          <w:rtl w:val="true"/>
        </w:rPr>
        <w:t xml:space="preserve">'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2.5.07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מגאן</w:t>
      </w:r>
      <w:r>
        <w:rPr>
          <w:rtl w:val="true"/>
        </w:rPr>
        <w:t xml:space="preserve">,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אלוג</w:t>
      </w:r>
      <w:r>
        <w:rPr>
          <w:rtl w:val="true"/>
        </w:rPr>
        <w:t xml:space="preserve">',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רמון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שהחילו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רמון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בפרט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מלחמה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במאבק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הישרדות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ארגוני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בביטחון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>.</w:t>
      </w:r>
    </w:p>
    <w:p>
      <w:pPr>
        <w:pStyle w:val="Normal"/>
        <w:ind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התופעה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לנגע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להברחות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ממצרים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לצערנו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נוטלים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בהברחות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ניצול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השטח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כחדיר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השטח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מיגון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הנדון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המלך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>.</w:t>
      </w:r>
    </w:p>
    <w:p>
      <w:pPr>
        <w:pStyle w:val="Normal"/>
        <w:ind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הברחות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מתבצעות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שבמצרים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המכירים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ובקיאים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השטח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ומכירים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ואבן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הממתינים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למבריחים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הישראלי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ומאפשרים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. </w:t>
      </w:r>
    </w:p>
    <w:p>
      <w:pPr>
        <w:pStyle w:val="Normal"/>
        <w:ind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תשתית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לתעשייה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במדיניות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להבטיח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ההרתעה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והגמול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>.</w:t>
      </w:r>
    </w:p>
    <w:p>
      <w:pPr>
        <w:pStyle w:val="Normal"/>
        <w:ind w:start="10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מצטמצם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לכאורה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יזם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לייעודו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במדרג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שבגינן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שנפסק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>.</w:t>
      </w:r>
    </w:p>
    <w:p>
      <w:pPr>
        <w:pStyle w:val="Normal"/>
        <w:ind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העניין</w:t>
      </w:r>
      <w:r>
        <w:rPr>
          <w:sz w:val="24"/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Fonts w:ascii="Arial" w:hAnsi="Arial" w:cs="Arial"/>
          <w:sz w:val="24"/>
          <w:sz w:val="24"/>
          <w:rtl w:val="true"/>
        </w:rPr>
        <w:t>אודות השיקולים להם יידרש בית משפט בהסדרי טיעון ראה קביעותיה של כב</w:t>
      </w:r>
      <w:r>
        <w:rPr>
          <w:rFonts w:cs="Arial" w:ascii="Arial" w:hAnsi="Arial"/>
          <w:sz w:val="24"/>
          <w:rtl w:val="true"/>
        </w:rPr>
        <w:t xml:space="preserve">' </w:t>
      </w:r>
      <w:r>
        <w:rPr>
          <w:rFonts w:ascii="Arial" w:hAnsi="Arial" w:cs="Arial"/>
          <w:sz w:val="24"/>
          <w:sz w:val="24"/>
          <w:rtl w:val="true"/>
        </w:rPr>
        <w:t xml:space="preserve">השופטת דורית בייניש </w:t>
      </w:r>
      <w:r>
        <w:rPr>
          <w:rFonts w:cs="Arial" w:ascii="Arial" w:hAnsi="Arial"/>
          <w:sz w:val="24"/>
          <w:rtl w:val="true"/>
        </w:rPr>
        <w:t>(</w:t>
      </w:r>
      <w:r>
        <w:rPr>
          <w:rFonts w:ascii="Arial" w:hAnsi="Arial" w:cs="Arial"/>
          <w:sz w:val="24"/>
          <w:sz w:val="24"/>
          <w:rtl w:val="true"/>
        </w:rPr>
        <w:t>כתוארה אז</w:t>
      </w:r>
      <w:r>
        <w:rPr>
          <w:rFonts w:cs="Arial" w:ascii="Arial" w:hAnsi="Arial"/>
          <w:sz w:val="24"/>
          <w:rtl w:val="true"/>
        </w:rPr>
        <w:t xml:space="preserve">) </w:t>
      </w:r>
      <w:r>
        <w:rPr>
          <w:rFonts w:ascii="Arial" w:hAnsi="Arial" w:cs="Arial"/>
          <w:sz w:val="24"/>
          <w:sz w:val="24"/>
          <w:rtl w:val="true"/>
        </w:rPr>
        <w:t>ב</w:t>
      </w:r>
      <w:hyperlink r:id="rId15">
        <w:r>
          <w:rPr>
            <w:rStyle w:val="Hyperlink"/>
            <w:rFonts w:ascii="Arial" w:hAnsi="Arial" w:cs="Arial"/>
            <w:sz w:val="24"/>
            <w:sz w:val="24"/>
            <w:rtl w:val="true"/>
          </w:rPr>
          <w:t>ע</w:t>
        </w:r>
        <w:r>
          <w:rPr>
            <w:rStyle w:val="Hyperlink"/>
            <w:rFonts w:cs="Arial" w:ascii="Arial" w:hAnsi="Arial"/>
            <w:sz w:val="24"/>
            <w:rtl w:val="true"/>
          </w:rPr>
          <w:t>"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4"/>
          </w:rPr>
          <w:t>1958/98</w:t>
        </w:r>
        <w:r>
          <w:rPr>
            <w:rStyle w:val="Hyperlink"/>
            <w:rFonts w:cs="Arial" w:ascii="Arial" w:hAnsi="Arial"/>
            <w:sz w:val="24"/>
            <w:rtl w:val="true"/>
          </w:rPr>
          <w:t xml:space="preserve"> 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>פלוני נ</w:t>
        </w:r>
        <w:r>
          <w:rPr>
            <w:rStyle w:val="Hyperlink"/>
            <w:rFonts w:cs="Arial" w:ascii="Arial" w:hAnsi="Arial"/>
            <w:sz w:val="24"/>
            <w:rtl w:val="true"/>
          </w:rPr>
          <w:t xml:space="preserve">' 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>מדינת ישראל</w:t>
        </w:r>
        <w:r>
          <w:rPr>
            <w:rStyle w:val="Hyperlink"/>
            <w:rFonts w:cs="Arial" w:ascii="Arial" w:hAnsi="Arial"/>
            <w:sz w:val="24"/>
            <w:rtl w:val="true"/>
          </w:rPr>
          <w:t xml:space="preserve">, 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>פ</w:t>
        </w:r>
        <w:r>
          <w:rPr>
            <w:rStyle w:val="Hyperlink"/>
            <w:rFonts w:cs="Arial" w:ascii="Arial" w:hAnsi="Arial"/>
            <w:sz w:val="24"/>
            <w:rtl w:val="true"/>
          </w:rPr>
          <w:t>"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>ד נז</w:t>
        </w:r>
      </w:hyperlink>
      <w:r>
        <w:rPr>
          <w:rFonts w:cs="Arial" w:ascii="Arial" w:hAnsi="Arial"/>
          <w:sz w:val="24"/>
          <w:rtl w:val="true"/>
        </w:rPr>
        <w:t>(</w:t>
      </w:r>
      <w:r>
        <w:rPr>
          <w:rFonts w:cs="Arial" w:ascii="Arial" w:hAnsi="Arial"/>
          <w:sz w:val="24"/>
        </w:rPr>
        <w:t>1</w:t>
      </w:r>
      <w:r>
        <w:rPr>
          <w:rFonts w:cs="Arial" w:ascii="Arial" w:hAnsi="Arial"/>
          <w:sz w:val="24"/>
          <w:rtl w:val="true"/>
        </w:rPr>
        <w:t xml:space="preserve">) </w:t>
      </w:r>
      <w:r>
        <w:rPr>
          <w:rFonts w:cs="Arial" w:ascii="Arial" w:hAnsi="Arial"/>
          <w:sz w:val="24"/>
        </w:rPr>
        <w:t>577</w:t>
      </w:r>
      <w:r>
        <w:rPr>
          <w:rFonts w:cs="Arial" w:ascii="Arial" w:hAnsi="Arial"/>
          <w:sz w:val="24"/>
          <w:rtl w:val="true"/>
        </w:rPr>
        <w:t xml:space="preserve">  </w:t>
      </w:r>
      <w:r>
        <w:rPr>
          <w:rFonts w:ascii="Arial" w:hAnsi="Arial" w:cs="Arial"/>
          <w:sz w:val="24"/>
          <w:sz w:val="24"/>
          <w:rtl w:val="true"/>
        </w:rPr>
        <w:t>בקובעה</w:t>
      </w:r>
      <w:r>
        <w:rPr>
          <w:rFonts w:cs="Arial" w:ascii="Arial" w:hAnsi="Arial"/>
          <w:sz w:val="24"/>
          <w:rtl w:val="true"/>
        </w:rPr>
        <w:t>:</w:t>
      </w:r>
    </w:p>
    <w:p>
      <w:pPr>
        <w:pStyle w:val="Normal"/>
        <w:ind w:start="1440" w:end="0"/>
        <w:jc w:val="both"/>
        <w:rPr/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בית</w:t>
      </w:r>
      <w:r>
        <w:rPr>
          <w:rFonts w:cs="Arial" w:ascii="Arial" w:hAnsi="Arial"/>
          <w:b/>
          <w:bCs/>
          <w:sz w:val="24"/>
          <w:rtl w:val="true"/>
        </w:rPr>
        <w:t>-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המשפט ידחה הסדר טיעון אם ימצא כי נפל פגם או פסול משמעותי בשיקולי התביעה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הנחת עבודה ראויה היא כי התביעה עומדת בחזקת התקינות והכשרות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ובית</w:t>
      </w:r>
      <w:r>
        <w:rPr>
          <w:rFonts w:cs="Arial" w:ascii="Arial" w:hAnsi="Arial"/>
          <w:b/>
          <w:bCs/>
          <w:sz w:val="24"/>
          <w:rtl w:val="true"/>
        </w:rPr>
        <w:t>-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המשפט יניח ככלל כי התביעה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כמופקדת על אינטרס הציבור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פועלת בתום לב ומשיקולים ענייניים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על הכבוד ההדדי המתחייב בין התביעה לבית</w:t>
      </w:r>
      <w:r>
        <w:rPr>
          <w:rFonts w:cs="Arial" w:ascii="Arial" w:hAnsi="Arial"/>
          <w:b/>
          <w:bCs/>
          <w:sz w:val="24"/>
          <w:rtl w:val="true"/>
        </w:rPr>
        <w:t>-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המשפט כזרועות במערכת אכיפת החוק עמד השופט חשין בפסק</w:t>
      </w:r>
      <w:r>
        <w:rPr>
          <w:rFonts w:cs="Arial" w:ascii="Arial" w:hAnsi="Arial"/>
          <w:b/>
          <w:bCs/>
          <w:sz w:val="24"/>
          <w:rtl w:val="true"/>
        </w:rPr>
        <w:t>-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דינו בפרשת יאיר לוי</w:t>
      </w:r>
      <w:r>
        <w:rPr>
          <w:rFonts w:cs="Arial" w:ascii="Arial" w:hAnsi="Arial"/>
          <w:b/>
          <w:bCs/>
          <w:sz w:val="24"/>
          <w:rtl w:val="true"/>
        </w:rPr>
        <w:t>: "...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אם עשתה הפרקליטות עסקת טיעון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ראוי לו לבית המשפט שישמור על כבודה של הפרקליטות ויעשה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בין השאר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לכיבוד העיסקה</w:t>
      </w:r>
      <w:r>
        <w:rPr>
          <w:rFonts w:cs="Arial" w:ascii="Arial" w:hAnsi="Arial"/>
          <w:sz w:val="24"/>
          <w:rtl w:val="true"/>
        </w:rPr>
        <w:t>" (</w:t>
      </w:r>
      <w:r>
        <w:rPr>
          <w:rFonts w:ascii="Arial" w:hAnsi="Arial" w:cs="Arial"/>
          <w:sz w:val="24"/>
          <w:sz w:val="24"/>
          <w:rtl w:val="true"/>
        </w:rPr>
        <w:t>שם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בעמ</w:t>
      </w:r>
      <w:r>
        <w:rPr>
          <w:rFonts w:cs="Arial" w:ascii="Arial" w:hAnsi="Arial"/>
          <w:sz w:val="24"/>
          <w:rtl w:val="true"/>
        </w:rPr>
        <w:t xml:space="preserve">' </w:t>
      </w:r>
      <w:r>
        <w:rPr>
          <w:rFonts w:cs="Arial" w:ascii="Arial" w:hAnsi="Arial"/>
          <w:sz w:val="24"/>
        </w:rPr>
        <w:t>174</w:t>
      </w:r>
      <w:r>
        <w:rPr>
          <w:rFonts w:cs="Arial" w:ascii="Arial" w:hAnsi="Arial"/>
          <w:sz w:val="24"/>
          <w:rtl w:val="true"/>
        </w:rPr>
        <w:t>).</w:t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לאור כל האמור לעיל הנני  מטילה על הנאשם את העונשים הבאים</w:t>
      </w:r>
      <w:r>
        <w:rPr>
          <w:rFonts w:cs="Arial" w:ascii="Arial" w:hAnsi="Arial"/>
          <w:sz w:val="24"/>
          <w:rtl w:val="true"/>
        </w:rPr>
        <w:t>:</w:t>
      </w:r>
    </w:p>
    <w:p>
      <w:pPr>
        <w:pStyle w:val="Normal"/>
        <w:numPr>
          <w:ilvl w:val="0"/>
          <w:numId w:val="5"/>
        </w:numPr>
        <w:ind w:hanging="720" w:start="180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מאסר בפועל ל</w:t>
      </w:r>
      <w:r>
        <w:rPr>
          <w:rFonts w:cs="Arial" w:ascii="Arial" w:hAnsi="Arial"/>
          <w:sz w:val="24"/>
          <w:rtl w:val="true"/>
        </w:rPr>
        <w:t>-</w:t>
      </w:r>
      <w:r>
        <w:rPr>
          <w:rFonts w:cs="Arial" w:ascii="Arial" w:hAnsi="Arial"/>
          <w:sz w:val="24"/>
        </w:rPr>
        <w:t>4.5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שנים החל מיום מעצרו </w:t>
      </w:r>
      <w:r>
        <w:rPr>
          <w:rFonts w:cs="Arial" w:ascii="Arial" w:hAnsi="Arial"/>
          <w:sz w:val="24"/>
        </w:rPr>
        <w:t>2.5.07</w:t>
      </w:r>
      <w:r>
        <w:rPr>
          <w:rFonts w:cs="Arial" w:ascii="Arial" w:hAnsi="Arial"/>
          <w:sz w:val="24"/>
          <w:rtl w:val="true"/>
        </w:rPr>
        <w:t xml:space="preserve">.  </w:t>
      </w:r>
    </w:p>
    <w:p>
      <w:pPr>
        <w:pStyle w:val="Normal"/>
        <w:numPr>
          <w:ilvl w:val="0"/>
          <w:numId w:val="5"/>
        </w:numPr>
        <w:ind w:hanging="720" w:start="1800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 w:val="24"/>
          <w:rtl w:val="true"/>
        </w:rPr>
        <w:t>מאסר על תנאי ל</w:t>
      </w:r>
      <w:r>
        <w:rPr>
          <w:rFonts w:cs="Arial" w:ascii="Arial" w:hAnsi="Arial"/>
          <w:sz w:val="24"/>
          <w:rtl w:val="true"/>
        </w:rPr>
        <w:t>-</w:t>
      </w:r>
      <w:r>
        <w:rPr>
          <w:rFonts w:cs="Arial" w:ascii="Arial" w:hAnsi="Arial"/>
          <w:sz w:val="24"/>
        </w:rPr>
        <w:t>24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 xml:space="preserve">חודשים והתנאי שהנאשם לא יעבור כל עבירת נשק לפי </w:t>
      </w:r>
      <w:hyperlink r:id="rId16">
        <w:r>
          <w:rPr>
            <w:rStyle w:val="Hyperlink"/>
            <w:rFonts w:ascii="Arial" w:hAnsi="Arial" w:cs="Arial"/>
            <w:color w:val="0000FF"/>
            <w:sz w:val="24"/>
            <w:sz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u w:val="single"/>
          </w:rPr>
          <w:t>144</w:t>
        </w:r>
      </w:hyperlink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ל</w:t>
      </w:r>
      <w:hyperlink r:id="rId17">
        <w:r>
          <w:rPr>
            <w:rStyle w:val="Hyperlink"/>
            <w:rFonts w:ascii="Arial" w:hAnsi="Arial" w:cs="Arial"/>
            <w:sz w:val="24"/>
            <w:sz w:val="24"/>
            <w:rtl w:val="true"/>
          </w:rPr>
          <w:t>חוק העונשין</w:t>
        </w:r>
      </w:hyperlink>
      <w:r>
        <w:rPr>
          <w:rFonts w:ascii="Arial" w:hAnsi="Arial" w:cs="Arial"/>
          <w:sz w:val="24"/>
          <w:sz w:val="24"/>
          <w:rtl w:val="true"/>
        </w:rPr>
        <w:t xml:space="preserve"> או כל עבירת פשע תוך </w:t>
      </w:r>
      <w:r>
        <w:rPr>
          <w:rFonts w:cs="Arial" w:ascii="Arial" w:hAnsi="Arial"/>
          <w:sz w:val="24"/>
        </w:rPr>
        <w:t>3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שנים מיום שחרורו</w:t>
      </w:r>
      <w:r>
        <w:rPr>
          <w:rFonts w:cs="Arial" w:ascii="Arial" w:hAnsi="Arial"/>
          <w:sz w:val="24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ind w:hanging="720" w:start="180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numPr>
          <w:ilvl w:val="0"/>
          <w:numId w:val="5"/>
        </w:numPr>
        <w:ind w:hanging="720" w:start="180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numPr>
          <w:ilvl w:val="0"/>
          <w:numId w:val="5"/>
        </w:numPr>
        <w:ind w:hanging="720" w:start="1800"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sz w:val="24"/>
          <w:sz w:val="24"/>
          <w:rtl w:val="true"/>
        </w:rPr>
        <w:t xml:space="preserve">רישיון הנהיגה של הנאשם יפסל לתקופה של </w:t>
      </w:r>
      <w:r>
        <w:rPr>
          <w:rFonts w:cs="Arial" w:ascii="Arial" w:hAnsi="Arial"/>
          <w:sz w:val="24"/>
        </w:rPr>
        <w:t>5</w:t>
      </w:r>
      <w:r>
        <w:rPr>
          <w:rFonts w:cs="Arial" w:ascii="Arial" w:hAnsi="Arial"/>
          <w:sz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rtl w:val="true"/>
        </w:rPr>
        <w:t>שנים החל מיום שחרורו</w:t>
      </w:r>
      <w:r>
        <w:rPr>
          <w:rFonts w:cs="Arial" w:ascii="Arial" w:hAnsi="Arial"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העליון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רחל ברקאי </w:t>
      </w:r>
      <w:r>
        <w:rPr>
          <w:rFonts w:cs="David" w:ascii="David" w:hAnsi="David"/>
          <w:color w:val="000000"/>
          <w:sz w:val="22"/>
          <w:szCs w:val="22"/>
        </w:rPr>
        <w:t>54678313-8161/07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בכסלו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</w:p>
    <w:tbl>
      <w:tblPr>
        <w:bidiVisual w:val="true"/>
        <w:tblW w:w="2127" w:type="dxa"/>
        <w:jc w:val="start"/>
        <w:tblInd w:w="43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/>
        <w:t>008161/07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אביגל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/Users/liorb/Downloads/study2025-p2/m07008161-260.doc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8161/07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אלווג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800"/>
        </w:tabs>
        <w:ind w:start="1800" w:hanging="720"/>
      </w:pPr>
      <w:rPr>
        <w:sz w:val="24"/>
        <w:szCs w:val="24"/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start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start"/>
      <w:outlineLvl w:val="5"/>
    </w:pPr>
    <w:rPr>
      <w:b/>
      <w:bCs/>
      <w:sz w:val="26"/>
      <w:szCs w:val="26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Cs/>
      <w:szCs w:val="26"/>
    </w:rPr>
  </w:style>
  <w:style w:type="character" w:styleId="WW8Num1z0">
    <w:name w:val="WW8Num1z0"/>
    <w:qFormat/>
    <w:rPr>
      <w:bCs/>
      <w:iCs w:val="false"/>
      <w:szCs w:val="22"/>
    </w:rPr>
  </w:style>
  <w:style w:type="character" w:styleId="WW8Num3z0">
    <w:name w:val="WW8Num3z0"/>
    <w:qFormat/>
    <w:rPr>
      <w:rFonts w:ascii="Times New Roman" w:hAnsi="Times New Roman" w:cs="Times New Roman"/>
      <w:sz w:val="24"/>
      <w:szCs w:val="24"/>
    </w:rPr>
  </w:style>
  <w:style w:type="character" w:styleId="WW8Num3z1">
    <w:name w:val="WW8Num3z1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1">
    <w:name w:val="תשובה"/>
    <w:basedOn w:val="Normal"/>
    <w:next w:val="Style12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2">
    <w:name w:val="שאלה"/>
    <w:basedOn w:val="Normal"/>
    <w:next w:val="Style11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2">
    <w:name w:val="סגנון1"/>
    <w:basedOn w:val="Normal"/>
    <w:next w:val="Style11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2510" TargetMode="External"/><Relationship Id="rId6" Type="http://schemas.openxmlformats.org/officeDocument/2006/relationships/hyperlink" Target="http://www.nevo.co.il/law/72510/7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43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2510/7" TargetMode="External"/><Relationship Id="rId12" Type="http://schemas.openxmlformats.org/officeDocument/2006/relationships/hyperlink" Target="http://www.nevo.co.il/law/72510" TargetMode="External"/><Relationship Id="rId13" Type="http://schemas.openxmlformats.org/officeDocument/2006/relationships/hyperlink" Target="http://www.nevo.co.il/law/5227/43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case/161892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2022-09-15T08:59:00Z</dcterms:created>
  <dc:creator> </dc:creator>
  <dc:description/>
  <cp:keywords/>
  <dc:language>en-IL</dc:language>
  <cp:lastModifiedBy>h1</cp:lastModifiedBy>
  <cp:lastPrinted>2008-12-11T11:30:00Z</cp:lastPrinted>
  <dcterms:modified xsi:type="dcterms:W3CDTF">2022-09-15T08:59:00Z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אלווג' עבדאללה</vt:lpwstr>
  </property>
  <property fmtid="{D5CDD505-2E9C-101B-9397-08002B2CF9AE}" pid="4" name="CASESLISTTMP1">
    <vt:lpwstr>161892</vt:lpwstr>
  </property>
  <property fmtid="{D5CDD505-2E9C-101B-9397-08002B2CF9AE}" pid="5" name="CITY">
    <vt:lpwstr>ב"ש</vt:lpwstr>
  </property>
  <property fmtid="{D5CDD505-2E9C-101B-9397-08002B2CF9AE}" pid="6" name="DATE">
    <vt:lpwstr>20081211</vt:lpwstr>
  </property>
  <property fmtid="{D5CDD505-2E9C-101B-9397-08002B2CF9AE}" pid="7" name="ISABSTRACT">
    <vt:lpwstr>Y</vt:lpwstr>
  </property>
  <property fmtid="{D5CDD505-2E9C-101B-9397-08002B2CF9AE}" pid="8" name="JUDGE">
    <vt:lpwstr>רחל ברקאי</vt:lpwstr>
  </property>
  <property fmtid="{D5CDD505-2E9C-101B-9397-08002B2CF9AE}" pid="9" name="LAWLISTTMP1">
    <vt:lpwstr>70301/144.b2;144</vt:lpwstr>
  </property>
  <property fmtid="{D5CDD505-2E9C-101B-9397-08002B2CF9AE}" pid="10" name="LAWLISTTMP2">
    <vt:lpwstr>72510/007</vt:lpwstr>
  </property>
  <property fmtid="{D5CDD505-2E9C-101B-9397-08002B2CF9AE}" pid="11" name="LAWLISTTMP3">
    <vt:lpwstr>5227/043</vt:lpwstr>
  </property>
  <property fmtid="{D5CDD505-2E9C-101B-9397-08002B2CF9AE}" pid="12" name="LAWYER">
    <vt:lpwstr>ענבל חיים;משה מרוז</vt:lpwstr>
  </property>
  <property fmtid="{D5CDD505-2E9C-101B-9397-08002B2CF9AE}" pid="13" name="PROCESS">
    <vt:lpwstr>תפ</vt:lpwstr>
  </property>
  <property fmtid="{D5CDD505-2E9C-101B-9397-08002B2CF9AE}" pid="14" name="PROCNUM">
    <vt:lpwstr>8161</vt:lpwstr>
  </property>
  <property fmtid="{D5CDD505-2E9C-101B-9397-08002B2CF9AE}" pid="15" name="PROCYEAR">
    <vt:lpwstr>07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390020081211</vt:lpwstr>
  </property>
  <property fmtid="{D5CDD505-2E9C-101B-9397-08002B2CF9AE}" pid="19" name="TYPE_N_DATE">
    <vt:lpwstr>39020081211</vt:lpwstr>
  </property>
  <property fmtid="{D5CDD505-2E9C-101B-9397-08002B2CF9AE}" pid="20" name="WORDNUMPAGES">
    <vt:lpwstr>4</vt:lpwstr>
  </property>
</Properties>
</file>