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  <w:u w:val="none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u w:val="none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 </w:t>
            </w:r>
            <w:r>
              <w:rPr>
                <w:b/>
                <w:bCs/>
                <w:sz w:val="26"/>
                <w:szCs w:val="26"/>
              </w:rPr>
              <w:t>008164/03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עמר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17/09/2003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> </w:t>
      </w:r>
    </w:p>
    <w:p>
      <w:pPr>
        <w:pStyle w:val="Normal"/>
        <w:ind w:end="0"/>
        <w:jc w:val="start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color w:val="000000"/>
                <w:rtl w:val="true"/>
              </w:rPr>
              <w:t>בעניין</w:t>
            </w:r>
            <w:r>
              <w:rPr>
                <w:b/>
                <w:bCs/>
                <w:color w:val="000000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  <w:t>ע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י עו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ד ע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לוי מפרקליטות מחוז הדרום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 xml:space="preserve">המאשימה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  <w:szCs w:val="26"/>
              </w:rPr>
            </w:pPr>
            <w:bookmarkStart w:id="2" w:name="שם_ב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 xml:space="preserve">חמזה אלהואשלה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337" w:hRule="atLeast"/>
        </w:trPr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  <w:szCs w:val="26"/>
              </w:rPr>
            </w:pPr>
            <w:bookmarkStart w:id="3" w:name="FirstLawyer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  <w:t>ע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י ב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כ עו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ד דכוואר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end="0"/>
        <w:jc w:val="center"/>
        <w:rPr>
          <w:b/>
          <w:bCs/>
          <w:color w:val="000000"/>
          <w:sz w:val="32"/>
          <w:szCs w:val="32"/>
          <w:u w:val="single"/>
        </w:rPr>
      </w:pPr>
      <w:bookmarkStart w:id="4" w:name="LastJudge"/>
      <w:bookmarkStart w:id="5" w:name="PsakDin"/>
      <w:bookmarkEnd w:id="4"/>
      <w:bookmarkEnd w:id="5"/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szCs w:val="20"/>
        </w:rPr>
      </w:pPr>
      <w:bookmarkStart w:id="6" w:name="PsakDin"/>
      <w:bookmarkEnd w:id="6"/>
      <w:r>
        <w:rPr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>
          <w:color w:val="000000"/>
        </w:rPr>
        <w:t>1</w:t>
      </w:r>
      <w:r>
        <w:rPr>
          <w:color w:val="000000"/>
          <w:rtl w:val="true"/>
        </w:rPr>
        <w:t>.</w:t>
        <w:tab/>
      </w:r>
      <w:bookmarkStart w:id="7" w:name="ABSTRACT_START"/>
      <w:bookmarkEnd w:id="7"/>
      <w:r>
        <w:rPr>
          <w:color w:val="000000"/>
          <w:rtl w:val="true"/>
        </w:rPr>
        <w:t xml:space="preserve">הנאשם הורשע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על פי הודאתו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ובמסגרת הסדר טיעון – בעבירות שיוחסו לו בכתב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היינו</w:t>
      </w:r>
      <w:r>
        <w:rPr>
          <w:color w:val="000000"/>
          <w:rtl w:val="true"/>
        </w:rPr>
        <w:t xml:space="preserve">: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 של סחר 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 סעיף </w:t>
      </w:r>
      <w:r>
        <w:rPr>
          <w:color w:val="000000"/>
        </w:rPr>
        <w:t>144</w:t>
      </w:r>
      <w:r>
        <w:rPr>
          <w:color w:val="000000"/>
          <w:rtl w:val="true"/>
        </w:rPr>
        <w:t xml:space="preserve">  (</w:t>
      </w:r>
      <w:r>
        <w:rPr>
          <w:color w:val="000000"/>
          <w:rtl w:val="true"/>
        </w:rPr>
        <w:t xml:space="preserve">ב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לחוק העונשין – 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ז </w:t>
      </w:r>
      <w:r>
        <w:rPr>
          <w:color w:val="000000"/>
        </w:rPr>
        <w:t>1977</w:t>
      </w:r>
      <w:r>
        <w:rPr>
          <w:color w:val="000000"/>
          <w:rtl w:val="true"/>
        </w:rPr>
        <w:t>,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החוק</w:t>
      </w:r>
      <w:r>
        <w:rPr>
          <w:color w:val="000000"/>
          <w:rtl w:val="true"/>
        </w:rPr>
        <w:t xml:space="preserve">"),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 של נשיאת נשק והובלתו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 סעיף </w:t>
      </w:r>
      <w:r>
        <w:rPr>
          <w:color w:val="000000"/>
        </w:rPr>
        <w:t>144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סיפא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שתי עבירות גניבה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 סעיפים </w:t>
      </w:r>
      <w:r>
        <w:rPr>
          <w:color w:val="000000"/>
        </w:rPr>
        <w:t>383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 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 xml:space="preserve">ו – </w:t>
      </w:r>
      <w:r>
        <w:rPr>
          <w:color w:val="000000"/>
        </w:rPr>
        <w:t>384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ועבירה אחת של החזקת נכס שהושג בפשע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 סעיף </w:t>
      </w:r>
      <w:r>
        <w:rPr>
          <w:color w:val="000000"/>
        </w:rPr>
        <w:t>411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>.</w:t>
      </w:r>
      <w:bookmarkStart w:id="8" w:name="ABSTRACT_END"/>
      <w:bookmarkEnd w:id="8"/>
    </w:p>
    <w:p>
      <w:pPr>
        <w:pStyle w:val="Normal"/>
        <w:ind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העובדות המקימות את העבירות 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ל 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כנטען בכתב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 בהן הודה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 – הן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כדלהלן</w:t>
      </w:r>
      <w:r>
        <w:rPr>
          <w:color w:val="000000"/>
          <w:rtl w:val="true"/>
        </w:rPr>
        <w:t>: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color w:val="000000"/>
          <w:szCs w:val="20"/>
          <w:rtl w:val="true"/>
        </w:rPr>
        <w:t> 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הנאשם שירת במועדים הרלוונטיים לכתב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כחייל בצה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בשירות סדיר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בתקופת המחצית השניה של שנת </w:t>
      </w:r>
      <w:r>
        <w:rPr>
          <w:b/>
          <w:bCs/>
          <w:color w:val="000000"/>
        </w:rPr>
        <w:t>2001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גנב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בהזדמנות אחת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מהבסיס הצבאי בו שירת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ארבע שרשראות של כדורי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מאג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שהכילו </w:t>
      </w:r>
      <w:r>
        <w:rPr>
          <w:color w:val="000000"/>
        </w:rPr>
        <w:t>230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 כל אחת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ובסה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כ – </w:t>
      </w:r>
      <w:r>
        <w:rPr>
          <w:color w:val="000000"/>
        </w:rPr>
        <w:t>920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וכן </w:t>
      </w:r>
      <w:r>
        <w:rPr>
          <w:color w:val="000000"/>
        </w:rPr>
        <w:t>1,000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כדורים לרובה </w:t>
      </w:r>
      <w:r>
        <w:rPr>
          <w:color w:val="000000"/>
          <w:rtl w:val="true"/>
        </w:rPr>
        <w:t>"</w:t>
      </w:r>
      <w:r>
        <w:rPr>
          <w:color w:val="000000"/>
        </w:rPr>
        <w:t>16</w:t>
      </w:r>
      <w:r>
        <w:rPr>
          <w:color w:val="000000"/>
          <w:rtl w:val="true"/>
        </w:rPr>
        <w:t>.</w:t>
      </w:r>
      <w:r>
        <w:rPr>
          <w:color w:val="000000"/>
        </w:rPr>
        <w:t>M</w:t>
      </w:r>
      <w:r>
        <w:rPr>
          <w:color w:val="000000"/>
          <w:rtl w:val="true"/>
        </w:rPr>
        <w:t xml:space="preserve">".  </w:t>
      </w:r>
      <w:r>
        <w:rPr>
          <w:color w:val="000000"/>
          <w:rtl w:val="true"/>
        </w:rPr>
        <w:t>את התחמושת 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 הוביל הנאשם לבית לחם ומכר אותה לתושב המקום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במחיר של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 xml:space="preserve">לכל כדור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מאג</w:t>
      </w:r>
      <w:r>
        <w:rPr>
          <w:color w:val="000000"/>
          <w:rtl w:val="true"/>
        </w:rPr>
        <w:t xml:space="preserve">" ; </w:t>
      </w:r>
      <w:r>
        <w:rPr>
          <w:color w:val="000000"/>
          <w:rtl w:val="true"/>
        </w:rPr>
        <w:t xml:space="preserve">ו –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 xml:space="preserve">לכל כדור </w:t>
      </w:r>
      <w:r>
        <w:rPr>
          <w:color w:val="000000"/>
          <w:rtl w:val="true"/>
        </w:rPr>
        <w:t>"</w:t>
      </w:r>
      <w:r>
        <w:rPr>
          <w:color w:val="000000"/>
        </w:rPr>
        <w:t>16</w:t>
      </w:r>
      <w:r>
        <w:rPr>
          <w:color w:val="000000"/>
        </w:rPr>
        <w:t>M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"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בהזדמנות נוספת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באותה תקופה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 הנאשם וגנב מאותו בסיס עוד ארבע שרשראות כדורים 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מאג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 xml:space="preserve">שהכילו </w:t>
      </w:r>
      <w:r>
        <w:rPr>
          <w:color w:val="000000"/>
        </w:rPr>
        <w:t>900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כדורים </w:t>
      </w:r>
      <w:r>
        <w:rPr>
          <w:color w:val="000000"/>
          <w:rtl w:val="true"/>
        </w:rPr>
        <w:t xml:space="preserve">-  </w:t>
      </w:r>
      <w:r>
        <w:rPr>
          <w:color w:val="000000"/>
          <w:rtl w:val="true"/>
        </w:rPr>
        <w:t>אותם הוביל לחברון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ושם מכר אותם לתושב המקום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תמורת סכום כולל בסך </w:t>
      </w:r>
      <w:r>
        <w:rPr>
          <w:color w:val="000000"/>
        </w:rPr>
        <w:t>1,300</w:t>
      </w:r>
      <w:r>
        <w:rPr>
          <w:color w:val="000000"/>
          <w:rtl w:val="true"/>
        </w:rPr>
        <w:t xml:space="preserve"> ₪.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ובאותה תקופה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קיבל הנאשם מאחרים שלוש שרשראות של כדורים 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מאג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 xml:space="preserve">שהכילו </w:t>
      </w:r>
      <w:r>
        <w:rPr>
          <w:color w:val="000000"/>
        </w:rPr>
        <w:t>230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כדורים כל אחת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ובסה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כ </w:t>
      </w:r>
      <w:r>
        <w:rPr>
          <w:color w:val="000000"/>
        </w:rPr>
        <w:t>690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תוך ידיעה שנגנבו מצה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ומכר אותם לתושב בית לחם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תמורת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לכל כדור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הסדר הטיעון בין הצדדים כלל הסכמה גם ביחס לעונש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הוצע לביהמ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 להטיל על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היינו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שלוש שנות מאסר בפועל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בנוסף למאסר מותנה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 שיקול דעת 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אין ספק באשר לחומרתן הרבה של 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ככלל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ובנסיבות הזמן והשעה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בפרט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שהופקד – כמו כל יתר חיילי 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 וכוחות הבטחון – על משמר בטחונה של המדינה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אשר נתנה בו את האמון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בצד החובה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לה נשבע אמונים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לשמור על בטחונה של המדינה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הפר אמון זה הפרה גסה וחמורה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גנב תחמושת ומכרה לידי תושבי הרשות הפלסטינאית המנהלת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לפחות בחלקה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מאבק טרור ופעולות איבה נגד מדינת 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ובמיוחד בשנים האחרונות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ולרבות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בזמן שבו בוצעו 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ועד רגע 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 יכול להיות ספק שאותה תחמושת נרכשה  לשם עשיית שימוש 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וכשהנאשם היה מודע לכך כי זו עלולה להתגלגל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אם לא התגלגלה כבר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 xml:space="preserve">לידי גורמים עויינים שיעשו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אם לא עשו כבר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שימוש 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 לפגוע באזרחי מדינת ישראל ותושביה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 xml:space="preserve">העובדה שמדובר בתחמושת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" – </w:t>
      </w:r>
      <w:r>
        <w:rPr>
          <w:color w:val="000000"/>
          <w:rtl w:val="true"/>
        </w:rPr>
        <w:t>להבדיל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מכלי יריה עצמו – אינה גורעת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משמעותית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מחומרת  העבירות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 xml:space="preserve">בלא  תחמושת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אין כל ערך אפקטיבי לכלי הירייה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משנה חומרה נודע לעבירות שביצע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 זאת שהן חזרו ונשנו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ואין מדובר במעידה חד פעמית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עבירות ממין זה מחייבות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איפוא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נקיטת ענישה מחמירה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אשר תבטא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 xml:space="preserve">בין יתר שיקולי הענישה – את </w:t>
      </w:r>
      <w:r>
        <w:rPr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עוצמת ההרתעה אשר מכוחה יימנעו אחרים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חיילים ושאינם חיילים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מלהתפתות למעשים נפשעים כאלה</w:t>
      </w:r>
      <w:r>
        <w:rPr>
          <w:color w:val="000000"/>
          <w:rtl w:val="true"/>
        </w:rPr>
        <w:t>". 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250/85</w:t>
      </w:r>
      <w:r>
        <w:rPr>
          <w:color w:val="000000"/>
          <w:rtl w:val="true"/>
        </w:rPr>
        <w:t xml:space="preserve"> ; </w:t>
      </w:r>
      <w:r>
        <w:rPr>
          <w:color w:val="000000"/>
        </w:rPr>
        <w:t>344/85</w:t>
      </w:r>
      <w:r>
        <w:rPr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color w:val="000000"/>
          <w:rtl w:val="true"/>
        </w:rPr>
        <w:t xml:space="preserve"> נגד </w:t>
      </w:r>
      <w:r>
        <w:rPr>
          <w:b/>
          <w:b/>
          <w:bCs/>
          <w:color w:val="000000"/>
          <w:rtl w:val="true"/>
        </w:rPr>
        <w:t>נתן יפת לוי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תק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86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670</w:t>
      </w:r>
      <w:r>
        <w:rPr>
          <w:color w:val="000000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 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 xml:space="preserve">לאור האמור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וכפי שטענה 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כ המאשימה – אין ספק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אילמלא הסדר הטיעון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 שהעונש הראוי להשית על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הינו תקופת מאסר העולה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משמעותית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 זו  עליה הוסכם להציע לביהמ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במסגרת הסדר הטיעון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וכעולה מפסיקת בתי המשפט המתיחסת לעבירות ממין זה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לטענת 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 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הסכמתה לעונש המוצע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 xml:space="preserve">המקל באורח משמעותי עם נאשם זה – נעוצה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ראש וראשונה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בהודאתו של הנאשם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כבר בשלבי החקירה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ואשר חסכה זמן ומשאבים לא רק לביהמ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 – וזה אולי עיקר – גם מבחינת אנשי בטחון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שאמורים היו לשמש עדי תביעה במשפט זה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משאלה הם שהיו גורמי החקירה שחשפו את הפרשה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ולאחר מכן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הועבר המשך הטיפול לידי גורמי התביעה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ובאופן שאלה יוכלו להקדיש את הזמן והמשאבים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שאמורים היו להקדיש למשפט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למשימות הבטחוניות הרבות המוטלות על שיכמם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בימים אלה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ומבחינה 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יוצא האינטרס הציבורי נשכר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ברב או במעט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יסוד נוסף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לקולא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נעוץ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לטענת 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 המדינה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בעובדה שבכל זאת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 xml:space="preserve">ולהבדיל מהנסיבות שנידונו בפסקי דין אחרים ומחמירים – מדובר כאן בתחמושת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ולא בכלי יריה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אף שלגבי דידי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וכאמור 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הבדל 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ביניהם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סניגורו המלומד של הנאשם ביקש להדגיש את נסיבותיו האישיות והקשות של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וככאלו המצביעות על כך שביסוד מעשיו לא עמדה תאוות בצע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לשמו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 xml:space="preserve">הנאשם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שלא היה מחוייב בגיוס לצה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נוכח המגזר אליו הוא משתייך 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העדיף להתגייס ולשרת את המדינה בה נולד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ואותה הוא חש חובה לשרת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ככל יתר אזרחי המדינה בני גילו המשרתים בצה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 והמחוייבים חובת גיוס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אף במחיר הכבד של התנתקות מבני משפחתו ומהחברה שבה נולד וגדל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 הטילו עליו חרם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עקב התגייסותו לצה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היתה להם למורת רוח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ועמדה בניגוד לעמדתם ולהשקפתם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עקב 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נותר הנאשם ללא כל גורם תומך ומסייע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מעבר לתמיכה הכספית לה זכה מצה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שהכיר בו 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חייל בודד</w:t>
      </w:r>
      <w:r>
        <w:rPr>
          <w:color w:val="000000"/>
          <w:rtl w:val="true"/>
        </w:rPr>
        <w:t xml:space="preserve">",  </w:t>
      </w:r>
      <w:r>
        <w:rPr>
          <w:color w:val="000000"/>
          <w:rtl w:val="true"/>
        </w:rPr>
        <w:t>ואשר לא היה 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לדבריו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 לספק את כל צרכיו החיוניים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 לא מקום לינה בחופשותיו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ועל שום כך נתפתה לביצוע המעשים שביצע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מפאת אותו חרם שהוטל עליו 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 משפחתו וסביבתו הטבעית גם מצא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לדבריו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 נחמתו ומשענתו אצל חברה יהודיה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עמה קשר קשר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המבטא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לדבריו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 קשר נפשי לעם היהודי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 xml:space="preserve">מכאן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איפוא – כך לטענת הסניגור – שאין מדובר בתאוות בצע לשמו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 בצורך שנבע מכורח הנסיבות הכלכליות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כשם שגם אין מדובר ברצון לפגוע בבטחון המדינה ותושביה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משלדבריו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התחמושת נמכרה לידי גורמים פליליים ברשות הפלסטינאית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לגורמים עויינים למדינה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כן ביקש הסניגור ליתן הדעת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לקולא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על כך שהנאשם הינו משולל כל עבר פלילי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למעט עבירות תעבורה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ועל העובדה שאחרון המעשים בוצע למעלה משנה וחצי עד שנעצר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ביום </w:t>
      </w:r>
      <w:r>
        <w:rPr>
          <w:color w:val="000000"/>
        </w:rPr>
        <w:t>21.7.03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ובמשך כל פרק זמן זה לא ביצע כל עבירה – לא ממין העבירות הנדונות ולא מסוג אחר כלשהו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 עצמו – בדבריו בפני – הביע חרטה על 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וחזר והצביע על המניעים שביסודם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 לעיל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 xml:space="preserve">לגבי דידי – ואילמלא הסדר הטיעון </w:t>
      </w:r>
      <w:r>
        <w:rPr>
          <w:color w:val="000000"/>
          <w:rtl w:val="true"/>
        </w:rPr>
        <w:t xml:space="preserve">-  </w:t>
      </w:r>
      <w:r>
        <w:rPr>
          <w:color w:val="000000"/>
          <w:rtl w:val="true"/>
        </w:rPr>
        <w:t>ראוי היה להשית על הנאשם עונש מאסר חמור וממושך מזה עליו הוסכם להציע לביהמ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 יבטא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 היתר ובעיקר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 יסוד ההרתעה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שהמקום והשעה מחייבים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בכלל הנסיבות כמובא 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ובהתחשב בנסיבות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לקולא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 מקרה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ראיתי הכרח שלא לכבד את הסדר הטיעון בין הצדדים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משעל כל פנים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לומר כי הינו בלתי סביר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בכלל נסיבות הענין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color w:val="000000"/>
          <w:szCs w:val="20"/>
        </w:rPr>
      </w:pPr>
      <w:r>
        <w:rPr>
          <w:color w:val="000000"/>
          <w:szCs w:val="20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אשר על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 גוזר על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בגין כלל העבירות  בהן  הורשע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 xml:space="preserve">עונש  מאסר  לתקופה  של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שלוש שנים הימנה תהיינה לריצוי 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החל ביום מעצרו </w:t>
      </w:r>
      <w:r>
        <w:rPr>
          <w:color w:val="000000"/>
          <w:rtl w:val="true"/>
        </w:rPr>
        <w:t>(</w:t>
      </w:r>
      <w:r>
        <w:rPr>
          <w:color w:val="000000"/>
        </w:rPr>
        <w:t>21.7.03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והיתרה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שנתיים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תהא על 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כשהתנאי 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אם יעבור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במשך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 מיום שחרורו ממאסרו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 עבירת 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שהינה פשע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 xml:space="preserve">זכות ערעור לבית המשפט העליון תוך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 מהיום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Heading1"/>
        <w:ind w:end="0"/>
        <w:jc w:val="start"/>
        <w:rPr>
          <w:b/>
          <w:bCs/>
          <w:color w:val="000000"/>
          <w:u w:val="none"/>
        </w:rPr>
      </w:pPr>
      <w:bookmarkStart w:id="9" w:name="Decision1"/>
      <w:bookmarkEnd w:id="9"/>
      <w:r>
        <w:rPr>
          <w:b/>
          <w:b/>
          <w:bCs/>
          <w:color w:val="000000"/>
          <w:u w:val="none"/>
          <w:rtl w:val="true"/>
        </w:rPr>
        <w:t>ניתן היום</w:t>
      </w:r>
      <w:r>
        <w:rPr>
          <w:b/>
          <w:bCs/>
          <w:color w:val="000000"/>
          <w:u w:val="none"/>
          <w:rtl w:val="true"/>
        </w:rPr>
        <w:t xml:space="preserve">: </w:t>
      </w:r>
      <w:r>
        <w:rPr>
          <w:b/>
          <w:b/>
          <w:bCs/>
          <w:color w:val="000000"/>
          <w:u w:val="none"/>
          <w:rtl w:val="true"/>
        </w:rPr>
        <w:t>י</w:t>
      </w:r>
      <w:r>
        <w:rPr>
          <w:b/>
          <w:bCs/>
          <w:color w:val="000000"/>
          <w:u w:val="none"/>
          <w:rtl w:val="true"/>
        </w:rPr>
        <w:t>"</w:t>
      </w:r>
      <w:r>
        <w:rPr>
          <w:b/>
          <w:b/>
          <w:bCs/>
          <w:color w:val="000000"/>
          <w:u w:val="none"/>
          <w:rtl w:val="true"/>
        </w:rPr>
        <w:t>ט אלול תשס</w:t>
      </w:r>
      <w:r>
        <w:rPr>
          <w:b/>
          <w:bCs/>
          <w:color w:val="000000"/>
          <w:u w:val="none"/>
          <w:rtl w:val="true"/>
        </w:rPr>
        <w:t>"</w:t>
      </w:r>
      <w:r>
        <w:rPr>
          <w:b/>
          <w:b/>
          <w:bCs/>
          <w:color w:val="000000"/>
          <w:u w:val="none"/>
          <w:rtl w:val="true"/>
        </w:rPr>
        <w:t xml:space="preserve">ג </w:t>
      </w:r>
      <w:r>
        <w:rPr>
          <w:b/>
          <w:bCs/>
          <w:color w:val="000000"/>
          <w:u w:val="none"/>
          <w:rtl w:val="true"/>
        </w:rPr>
        <w:t>(</w:t>
      </w:r>
      <w:r>
        <w:rPr>
          <w:b/>
          <w:bCs/>
          <w:color w:val="000000"/>
          <w:u w:val="none"/>
        </w:rPr>
        <w:t>16</w:t>
      </w:r>
      <w:r>
        <w:rPr>
          <w:b/>
          <w:bCs/>
          <w:color w:val="000000"/>
          <w:u w:val="none"/>
          <w:rtl w:val="true"/>
        </w:rPr>
        <w:t xml:space="preserve"> </w:t>
      </w:r>
      <w:r>
        <w:rPr>
          <w:b/>
          <w:b/>
          <w:bCs/>
          <w:color w:val="000000"/>
          <w:u w:val="none"/>
          <w:rtl w:val="true"/>
        </w:rPr>
        <w:t xml:space="preserve">בספטמבר </w:t>
      </w:r>
      <w:r>
        <w:rPr>
          <w:b/>
          <w:bCs/>
          <w:color w:val="000000"/>
          <w:u w:val="none"/>
        </w:rPr>
        <w:t>2003</w:t>
      </w:r>
      <w:r>
        <w:rPr>
          <w:b/>
          <w:bCs/>
          <w:color w:val="000000"/>
          <w:u w:val="none"/>
          <w:rtl w:val="true"/>
        </w:rPr>
        <w:t xml:space="preserve">) </w:t>
      </w:r>
      <w:r>
        <w:rPr>
          <w:b/>
          <w:b/>
          <w:bCs/>
          <w:color w:val="000000"/>
          <w:u w:val="none"/>
          <w:rtl w:val="true"/>
        </w:rPr>
        <w:t>במעמד הנאשם וב</w:t>
      </w:r>
      <w:r>
        <w:rPr>
          <w:b/>
          <w:bCs/>
          <w:color w:val="000000"/>
          <w:u w:val="none"/>
          <w:rtl w:val="true"/>
        </w:rPr>
        <w:t>"</w:t>
      </w:r>
      <w:r>
        <w:rPr>
          <w:b/>
          <w:b/>
          <w:bCs/>
          <w:color w:val="000000"/>
          <w:u w:val="none"/>
          <w:rtl w:val="true"/>
        </w:rPr>
        <w:t>כ הצדדים</w:t>
      </w:r>
      <w:r>
        <w:rPr>
          <w:b/>
          <w:bCs/>
          <w:color w:val="000000"/>
          <w:u w:val="none"/>
          <w:rtl w:val="true"/>
        </w:rPr>
        <w:t>.</w:t>
      </w:r>
      <w:r>
        <w:rPr>
          <w:b/>
          <w:b/>
          <w:bCs/>
          <w:color w:val="000000"/>
          <w:sz w:val="4"/>
          <w:sz w:val="4"/>
          <w:szCs w:val="4"/>
          <w:u w:val="none"/>
          <w:rtl w:val="true"/>
        </w:rPr>
        <w:t>ו</w:t>
      </w:r>
    </w:p>
    <w:tbl>
      <w:tblPr>
        <w:tblW w:w="2693" w:type="dxa"/>
        <w:jc w:val="start"/>
        <w:tblInd w:w="2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ח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עמר – שופט</w:t>
            </w:r>
          </w:p>
        </w:tc>
      </w:tr>
    </w:tbl>
    <w:p>
      <w:pPr>
        <w:pStyle w:val="Normal"/>
        <w:ind w:end="0"/>
        <w:jc w:val="start"/>
        <w:rPr/>
      </w:pPr>
      <w:bookmarkStart w:id="10" w:name="Decision1"/>
      <w:bookmarkEnd w:id="10"/>
      <w:r>
        <w:rPr/>
        <w:t>008164/03</w:t>
      </w:r>
      <w:r>
        <w:rPr>
          <w:rtl w:val="true"/>
        </w:rPr>
        <w:t xml:space="preserve">פ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מיכל וקנין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/Users/liorb/Downloads/study2025-p2/m038164.doc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8164/03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חמזה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אלהואשלה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start"/>
      <w:outlineLvl w:val="0"/>
    </w:pPr>
    <w:rPr>
      <w:szCs w:val="2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start"/>
      <w:outlineLvl w:val="4"/>
    </w:pPr>
    <w:rPr>
      <w:b/>
      <w:bCs/>
      <w:color w:val="000000"/>
      <w:szCs w:val="3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rFonts w:cs="David"/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2010-03-14T06:37:00Z</dcterms:created>
  <dc:creator> </dc:creator>
  <dc:description/>
  <cp:keywords/>
  <dc:language>en-IL</dc:language>
  <cp:lastModifiedBy>eli</cp:lastModifiedBy>
  <cp:lastPrinted>2003-09-16T09:35:00Z</cp:lastPrinted>
  <dcterms:modified xsi:type="dcterms:W3CDTF">2010-03-14T06:37:00Z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חמזה אלהואשלה</vt:lpwstr>
  </property>
  <property fmtid="{D5CDD505-2E9C-101B-9397-08002B2CF9AE}" pid="4" name="CITY">
    <vt:lpwstr>ב"ש</vt:lpwstr>
  </property>
  <property fmtid="{D5CDD505-2E9C-101B-9397-08002B2CF9AE}" pid="5" name="DATE">
    <vt:lpwstr>20030917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YER">
    <vt:lpwstr>דכוואר;ע. לוי 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8164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