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Heading5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keepNext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  <w:u w:val="none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משפט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מחוזי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באר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2"/>
              </w:rPr>
              <w:t>008166/03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rFonts w:cs="David"/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עמר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rFonts w:cs="David"/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</w:rPr>
              <w:t>01/10/2003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</w:rPr>
            </w:pPr>
            <w:bookmarkStart w:id="2" w:name="FirstAppellant"/>
            <w:bookmarkEnd w:id="2"/>
            <w:r>
              <w:rPr>
                <w:rFonts w:cs="David"/>
                <w:sz w:val="22"/>
                <w:sz w:val="22"/>
                <w:rtl w:val="true"/>
              </w:rPr>
              <w:t>בעניין</w:t>
            </w:r>
            <w:r>
              <w:rPr>
                <w:rFonts w:cs="David"/>
                <w:sz w:val="22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sz w:val="22"/>
                <w:sz w:val="22"/>
                <w:rtl w:val="true"/>
              </w:rPr>
              <w:t>ע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י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ב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כ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–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עו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ד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ד</w:t>
            </w:r>
            <w:r>
              <w:rPr>
                <w:rFonts w:cs="David"/>
                <w:sz w:val="22"/>
                <w:rtl w:val="true"/>
              </w:rPr>
              <w:t xml:space="preserve">. </w:t>
            </w:r>
            <w:r>
              <w:rPr>
                <w:rFonts w:cs="David"/>
                <w:sz w:val="22"/>
                <w:sz w:val="22"/>
                <w:rtl w:val="true"/>
              </w:rPr>
              <w:t>מזור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מפרקליטות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מחוז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הדרום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Heading6"/>
              <w:spacing w:before="0" w:after="8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רפאת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אלהואשלה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sz w:val="22"/>
                <w:sz w:val="22"/>
                <w:rtl w:val="true"/>
              </w:rPr>
              <w:t>ע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י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ב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כ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–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עו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ד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דכוואר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Heading3"/>
        <w:keepNext w:val="false"/>
        <w:spacing w:lineRule="exact" w:line="320" w:before="0" w:after="80"/>
        <w:ind w:firstLine="283" w:end="0"/>
        <w:jc w:val="both"/>
        <w:rPr>
          <w:rFonts w:cs="David"/>
          <w:b w:val="false"/>
          <w:bCs w:val="false"/>
          <w:sz w:val="22"/>
          <w:szCs w:val="24"/>
          <w:u w:val="none"/>
        </w:rPr>
      </w:pPr>
      <w:r>
        <w:rPr>
          <w:rFonts w:cs="David"/>
          <w:b w:val="false"/>
          <w:bCs w:val="false"/>
          <w:sz w:val="22"/>
          <w:szCs w:val="24"/>
          <w:u w:val="none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9" w:name="LastJudge"/>
      <w:bookmarkStart w:id="10" w:name="PsakDin"/>
      <w:bookmarkEnd w:id="9"/>
      <w:bookmarkEnd w:id="10"/>
      <w:r>
        <w:rPr>
          <w:rFonts w:cs="David"/>
          <w:b/>
          <w:b/>
          <w:bCs/>
          <w:sz w:val="22"/>
          <w:sz w:val="22"/>
          <w:u w:val="single"/>
          <w:rtl w:val="true"/>
        </w:rPr>
        <w:t>גזר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1" w:name="PsakDin"/>
      <w:bookmarkEnd w:id="11"/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>.</w:t>
        <w:tab/>
      </w:r>
      <w:bookmarkStart w:id="12" w:name="ABSTRACT_START"/>
      <w:bookmarkEnd w:id="12"/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הודאתו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ובמסגרת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טיעון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שבעקבותיו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תוקן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ניסיון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לסחר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בנשק</w:t>
      </w:r>
      <w:bookmarkStart w:id="13" w:name="ABSTRACT_END"/>
      <w:bookmarkEnd w:id="13"/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סעיפים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144</w:t>
      </w:r>
      <w:r>
        <w:rPr>
          <w:rFonts w:cs="David"/>
          <w:sz w:val="22"/>
          <w:rtl w:val="true"/>
        </w:rPr>
        <w:t xml:space="preserve"> (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) (</w:t>
      </w:r>
      <w:r>
        <w:rPr>
          <w:rFonts w:cs="David"/>
          <w:sz w:val="22"/>
        </w:rPr>
        <w:t>2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ו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25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העונשין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התשל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1977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ובעבירה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נשיאת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והובלתו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סעיף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144</w:t>
      </w:r>
      <w:r>
        <w:rPr>
          <w:rFonts w:cs="David"/>
          <w:sz w:val="22"/>
          <w:rtl w:val="true"/>
        </w:rPr>
        <w:t xml:space="preserve"> (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) (</w:t>
      </w:r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רישא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המדובר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המתוקן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שבעובדותיו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באקדח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בקטר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9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בלתי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2001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למכור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להלן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הקונה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והלה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הסכים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להצעה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מימוש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העיסקה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פגש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האקדח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וקיבל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תמורתו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1,000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דינר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ירדני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600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אולם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ומשהתברר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מעמד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הנוקר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האקדח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פגום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נטל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האקדח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בחזרה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בהבטיחו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לתקנו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נסעו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השניים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יחדיו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לבאר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שבע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color w:val="FFFFFF"/>
          <w:sz w:val="4"/>
          <w:szCs w:val="4"/>
        </w:rPr>
      </w:pPr>
      <w:r>
        <w:rPr>
          <w:rFonts w:cs="David"/>
          <w:sz w:val="22"/>
        </w:rPr>
        <w:t>2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במסגרת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הוסכם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הצדדים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יומלץ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</w:rPr>
        <w:t>6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בפועל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שירוצו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מותנה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כספי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שיקול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color w:val="FFFFFF"/>
          <w:sz w:val="24"/>
          <w:szCs w:val="4"/>
        </w:rPr>
      </w:pPr>
      <w:r>
        <w:rPr>
          <w:rFonts w:cs="David"/>
          <w:color w:val="FFFFFF"/>
          <w:sz w:val="2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בהתאם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למוסכם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הוריתי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קבלת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הוגשה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לדידי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ואילמלא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המיוחדות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שעמדו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ביסודו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ספק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שראוי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מאחורי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סורג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ובריח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כמתחייב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ממדיניות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המחמירה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הנקוטה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בפסיקה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סחר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בנשק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ומשהדברים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ידועים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אוסיף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ואכביר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ואולם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וכפי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שהטעימה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במקרה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מיוחדות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שהעיקרית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נעוצה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שהאקדח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ניסה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למכור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פגום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יצלח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בידיעת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מעיקרא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ובסופו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במצב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תקין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ראויה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להתחשבות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הודה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בעבירה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מעצרו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יקר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ומשאבים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ובמיוחד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זמנם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היקר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כוחות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הבטחון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שאמורים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להעיד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משהם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שניהלו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החקירה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בראשיתה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ובאופן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יקר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יוכלו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לייעד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למשימות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הבטחון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השוטפות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הרובצות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כתפיהם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שעה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ובמיוחד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וכפי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שציין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למעשה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שחשף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u w:val="single"/>
          <w:rtl w:val="true"/>
        </w:rPr>
        <w:t>ביוזמתו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צפונות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וגילה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לחוקריו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הוחשד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נחקר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בגינה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בגין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לעודד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התנהגות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מסוג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המקפלת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בתוכה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ביטוי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מובהק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חרטה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ראוי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להביא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חשבון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ילדים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הפלילי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הכמעט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נקי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והכולל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בלבד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1996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שענינה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תושב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הפלסטינית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לעבודה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בארץ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היתר</w:t>
      </w:r>
      <w:r>
        <w:rPr>
          <w:rFonts w:cs="David"/>
          <w:sz w:val="22"/>
          <w:rtl w:val="true"/>
        </w:rPr>
        <w:t xml:space="preserve">); </w:t>
      </w:r>
      <w:r>
        <w:rPr>
          <w:rFonts w:cs="David"/>
          <w:sz w:val="22"/>
          <w:sz w:val="22"/>
          <w:rtl w:val="true"/>
        </w:rPr>
        <w:t>ואת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ששהה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במעצר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בגין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</w:rPr>
        <w:t>26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ימים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בנסיבות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המיוחדות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כמתואר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ראיתי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לאמץ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בלתי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סביר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האמורות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שיסוד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ההרתעה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ימצא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ביטויו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מותנה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משמעותי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5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ובאמצי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הצדדים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בגין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העונשים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הבאים</w:t>
      </w:r>
      <w:r>
        <w:rPr>
          <w:rFonts w:cs="David"/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</w:rPr>
        <w:t>6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ירצה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החייל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בבאר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פיקוחו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מור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  <w:sz w:val="22"/>
          <w:rtl w:val="true"/>
        </w:rPr>
        <w:t>יוסף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אחזקה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וסיוע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שירותים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מינהלה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העבודות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תבוצענה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08:00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16:00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–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  <w:sz w:val="22"/>
          <w:rtl w:val="true"/>
        </w:rPr>
        <w:t>בשבוע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08:00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13:00</w:t>
      </w:r>
      <w:r>
        <w:rPr>
          <w:rFonts w:cs="David"/>
          <w:sz w:val="22"/>
          <w:rtl w:val="true"/>
        </w:rPr>
        <w:t xml:space="preserve">  - </w:t>
      </w:r>
      <w:r>
        <w:rPr>
          <w:rFonts w:cs="David"/>
          <w:sz w:val="22"/>
          <w:sz w:val="22"/>
          <w:rtl w:val="true"/>
        </w:rPr>
        <w:t>בערבי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חג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יחל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19.10.03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08:00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ובמועד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יתייצב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כשהוא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מצוייד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בעותק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תנאי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והתנאי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יעבור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מהיום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עבירת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פשע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מטיל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כספי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6,000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60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ימי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תמורתו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הקנס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ישולם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הערבון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בסך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7,500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שהפקיד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בקופת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במסגרת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תנאי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שיחרורו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בערובה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והיתרה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</w:rPr>
        <w:t>1,500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תוחזר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זכות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העליון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מהיום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color w:val="000000"/>
          <w:sz w:val="22"/>
        </w:rPr>
      </w:pPr>
      <w:r>
        <w:rPr>
          <w:rFonts w:cs="David"/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ה</w:t>
      </w:r>
      <w:r>
        <w:rPr>
          <w:rFonts w:cs="David"/>
          <w:b/>
          <w:bCs/>
          <w:color w:val="000000"/>
          <w:sz w:val="22"/>
          <w:rtl w:val="true"/>
        </w:rPr>
        <w:t xml:space="preserve">'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תשרי</w:t>
      </w:r>
      <w:r>
        <w:rPr>
          <w:rFonts w:cs="David"/>
          <w:b/>
          <w:bCs/>
          <w:color w:val="000000"/>
          <w:sz w:val="22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תשס</w:t>
      </w:r>
      <w:r>
        <w:rPr>
          <w:rFonts w:cs="David"/>
          <w:b/>
          <w:bCs/>
          <w:color w:val="000000"/>
          <w:sz w:val="22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ד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Cs/>
          <w:color w:val="000000"/>
          <w:sz w:val="22"/>
          <w:rtl w:val="true"/>
        </w:rPr>
        <w:t>(</w:t>
      </w:r>
      <w:r>
        <w:rPr>
          <w:rFonts w:cs="David"/>
          <w:b/>
          <w:bCs/>
          <w:color w:val="000000"/>
          <w:sz w:val="22"/>
        </w:rPr>
        <w:t>1</w:t>
      </w:r>
      <w:r>
        <w:rPr>
          <w:rFonts w:cs="David"/>
          <w:b/>
          <w:bCs/>
          <w:color w:val="000000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באוקטובר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Cs/>
          <w:color w:val="000000"/>
          <w:sz w:val="22"/>
        </w:rPr>
        <w:t>2003</w:t>
      </w:r>
      <w:r>
        <w:rPr>
          <w:rFonts w:cs="David"/>
          <w:b/>
          <w:bCs/>
          <w:color w:val="000000"/>
          <w:sz w:val="22"/>
          <w:rtl w:val="true"/>
        </w:rPr>
        <w:t xml:space="preserve">)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הנאשם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וב</w:t>
      </w:r>
      <w:r>
        <w:rPr>
          <w:rFonts w:cs="David"/>
          <w:b/>
          <w:bCs/>
          <w:color w:val="000000"/>
          <w:sz w:val="22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כ</w:t>
      </w:r>
      <w:r>
        <w:rPr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rFonts w:cs="David"/>
          <w:b/>
          <w:bCs/>
          <w:color w:val="000000"/>
          <w:sz w:val="22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David"/>
          <w:rtl w:val="true"/>
        </w:rPr>
        <w:t xml:space="preserve"> </w:t>
      </w:r>
    </w:p>
    <w:tbl>
      <w:tblPr>
        <w:bidiVisual w:val="true"/>
        <w:tblW w:w="2693" w:type="dxa"/>
        <w:jc w:val="start"/>
        <w:tblInd w:w="10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עמר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David"/>
          <w:sz w:val="22"/>
        </w:rPr>
        <w:t>008166/03</w:t>
      </w:r>
      <w:r>
        <w:rPr>
          <w:rFonts w:cs="David"/>
          <w:sz w:val="22"/>
          <w:sz w:val="22"/>
          <w:rtl w:val="true"/>
        </w:rPr>
        <w:t>פ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</w:rPr>
        <w:t>055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וקנין</w:t>
      </w:r>
      <w:r>
        <w:rPr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נוסח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כפוף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לשינויי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עריכה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/Users/liorb/Downloads/study2025-p2/m03008166-9.doc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8166/03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רפאת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אלהואשלה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szCs w:val="2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320" w:before="0" w:after="80"/>
      <w:ind w:firstLine="283" w:start="0" w:end="0"/>
      <w:jc w:val="center"/>
      <w:outlineLvl w:val="4"/>
    </w:pPr>
    <w:rPr>
      <w:rFonts w:cs="David"/>
      <w:b/>
      <w:bCs/>
      <w:sz w:val="2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center"/>
      <w:outlineLvl w:val="5"/>
    </w:pPr>
    <w:rPr>
      <w:rFonts w:cs="David"/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start"/>
    </w:pPr>
    <w:rPr>
      <w:rFonts w:cs="David"/>
      <w:b/>
      <w:bCs/>
      <w:sz w:val="22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2010-03-14T06:07:00Z</dcterms:created>
  <dc:creator> </dc:creator>
  <dc:description/>
  <cp:keywords/>
  <dc:language>en-IL</dc:language>
  <cp:lastModifiedBy>eli</cp:lastModifiedBy>
  <cp:lastPrinted>2003-10-01T10:32:00Z</cp:lastPrinted>
  <dcterms:modified xsi:type="dcterms:W3CDTF">2010-03-14T06:07:00Z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רפאת אלהואשלה</vt:lpwstr>
  </property>
  <property fmtid="{D5CDD505-2E9C-101B-9397-08002B2CF9AE}" pid="4" name="CITY">
    <vt:lpwstr>ב"ש</vt:lpwstr>
  </property>
  <property fmtid="{D5CDD505-2E9C-101B-9397-08002B2CF9AE}" pid="5" name="DATE">
    <vt:lpwstr>20031001</vt:lpwstr>
  </property>
  <property fmtid="{D5CDD505-2E9C-101B-9397-08002B2CF9AE}" pid="6" name="ISABSTRACT">
    <vt:lpwstr>Y</vt:lpwstr>
  </property>
  <property fmtid="{D5CDD505-2E9C-101B-9397-08002B2CF9AE}" pid="7" name="JUDGE">
    <vt:lpwstr>ח. עמר</vt:lpwstr>
  </property>
  <property fmtid="{D5CDD505-2E9C-101B-9397-08002B2CF9AE}" pid="8" name="LAWYER">
    <vt:lpwstr>ד. מזור;דכוואר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8166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