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סוג_מסמך"/>
      <w:bookmarkStart w:id="2" w:name="צד_ג"/>
      <w:bookmarkStart w:id="3" w:name="LastJudge"/>
      <w:bookmarkStart w:id="4" w:name="סוג_מסמך"/>
      <w:bookmarkStart w:id="5" w:name="צד_ג"/>
      <w:bookmarkEnd w:id="3"/>
      <w:bookmarkEnd w:id="4"/>
      <w:bookmarkEnd w:id="5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2"/>
        <w:gridCol w:w="822"/>
        <w:gridCol w:w="2092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008229/05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סלוטקי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23/10/2006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center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"/>
        <w:gridCol w:w="1332"/>
        <w:gridCol w:w="1"/>
        <w:gridCol w:w="1757"/>
        <w:gridCol w:w="3063"/>
        <w:gridCol w:w="2409"/>
      </w:tblGrid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6" w:name="FirstAppellant"/>
            <w:bookmarkEnd w:id="6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Heading7"/>
              <w:snapToGrid w:val="false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6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5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Heading5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אוסצמה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חסן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  <w:tr>
        <w:trPr/>
        <w:tc>
          <w:tcPr>
            <w:tcW w:w="8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rtl w:val="true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נוכחים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7230" w:type="dxa"/>
            <w:gridSpan w:val="4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bookmarkStart w:id="9" w:name="בא_כוח_א"/>
            <w:bookmarkEnd w:id="9"/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יואב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עטר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bookmarkStart w:id="10" w:name="בא_כוח_ב"/>
            <w:bookmarkEnd w:id="10"/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זילברשטיין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גיורא</w:t>
            </w:r>
          </w:p>
        </w:tc>
      </w:tr>
    </w:tbl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  <w:bookmarkStart w:id="11" w:name="LawTable"/>
      <w:bookmarkStart w:id="12" w:name="LawTable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240"/>
        <w:ind w:end="0"/>
        <w:jc w:val="center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3" w:name="LawTable_End"/>
      <w:bookmarkStart w:id="14" w:name="LawTable_End"/>
      <w:bookmarkEnd w:id="14"/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center"/>
        <w:rPr/>
      </w:pPr>
      <w:bookmarkStart w:id="15" w:name="PsakDin"/>
      <w:bookmarkEnd w:id="15"/>
      <w:r>
        <w:rPr>
          <w:b/>
          <w:b/>
          <w:bCs/>
          <w:sz w:val="34"/>
          <w:sz w:val="34"/>
          <w:szCs w:val="32"/>
          <w:rtl w:val="true"/>
        </w:rPr>
        <w:t>גזר</w:t>
      </w:r>
      <w:r>
        <w:rPr>
          <w:rFonts w:cs="Times New Roman"/>
          <w:b/>
          <w:b/>
          <w:bCs/>
          <w:sz w:val="34"/>
          <w:sz w:val="34"/>
          <w:szCs w:val="32"/>
          <w:rtl w:val="true"/>
        </w:rPr>
        <w:t xml:space="preserve"> </w:t>
      </w:r>
      <w:r>
        <w:rPr>
          <w:rFonts w:cs="Times New Roman"/>
          <w:b/>
          <w:b/>
          <w:bCs/>
          <w:sz w:val="34"/>
          <w:sz w:val="34"/>
          <w:szCs w:val="32"/>
          <w:rtl w:val="true"/>
        </w:rPr>
        <w:t xml:space="preserve"> </w:t>
      </w:r>
      <w:r>
        <w:rPr>
          <w:b/>
          <w:bCs/>
          <w:sz w:val="34"/>
          <w:szCs w:val="32"/>
          <w:rtl w:val="true"/>
        </w:rPr>
        <w:t xml:space="preserve">- </w:t>
      </w:r>
      <w:r>
        <w:rPr>
          <w:b/>
          <w:b/>
          <w:bCs/>
          <w:sz w:val="34"/>
          <w:sz w:val="34"/>
          <w:szCs w:val="32"/>
          <w:rtl w:val="true"/>
        </w:rPr>
        <w:t>דין</w:t>
      </w:r>
    </w:p>
    <w:p>
      <w:pPr>
        <w:pStyle w:val="Normal"/>
        <w:ind w:hanging="720" w:start="720" w:end="0"/>
        <w:jc w:val="both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1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+ </w:t>
      </w:r>
      <w:hyperlink r:id="rId13"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3782" w:leader="none"/>
        </w:tabs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0" w:leader="none"/>
        </w:tabs>
        <w:ind w:start="720" w:end="0"/>
        <w:jc w:val="both"/>
        <w:rPr/>
      </w:pPr>
      <w:bookmarkStart w:id="18" w:name="LastJudge"/>
      <w:bookmarkEnd w:id="18"/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0" w:leader="none"/>
        </w:tabs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</w:t>
      </w:r>
    </w:p>
    <w:p>
      <w:pPr>
        <w:pStyle w:val="Normal"/>
        <w:tabs>
          <w:tab w:val="clear" w:pos="720"/>
          <w:tab w:val="left" w:pos="3782" w:leader="none"/>
        </w:tabs>
        <w:ind w:hanging="720" w:start="720" w:end="0"/>
        <w:jc w:val="both"/>
        <w:rPr/>
      </w:pPr>
      <w:r>
        <w:rPr>
          <w:b/>
          <w:bCs/>
          <w:sz w:val="30"/>
          <w:szCs w:val="28"/>
        </w:rPr>
        <w:t>2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tabs>
          <w:tab w:val="clear" w:pos="720"/>
          <w:tab w:val="left" w:pos="3782" w:leader="none"/>
        </w:tabs>
        <w:ind w:hanging="720" w:start="720" w:end="0"/>
        <w:jc w:val="both"/>
        <w:rPr/>
      </w:pPr>
      <w:r>
        <w:rPr>
          <w:rtl w:val="true"/>
        </w:rPr>
        <w:tab/>
      </w:r>
      <w:bookmarkStart w:id="19" w:name="ABSTRACT_START"/>
      <w:bookmarkEnd w:id="19"/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ועייד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עפנאן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. </w:t>
      </w:r>
      <w:bookmarkStart w:id="20" w:name="ABSTRACT_END"/>
      <w:bookmarkEnd w:id="20"/>
    </w:p>
    <w:p>
      <w:pPr>
        <w:pStyle w:val="Normal"/>
        <w:tabs>
          <w:tab w:val="clear" w:pos="720"/>
          <w:tab w:val="left" w:pos="3782" w:leader="none"/>
        </w:tabs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</w:p>
    <w:p>
      <w:pPr>
        <w:pStyle w:val="Normal"/>
        <w:tabs>
          <w:tab w:val="clear" w:pos="720"/>
          <w:tab w:val="left" w:pos="3782" w:leader="none"/>
        </w:tabs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בכ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משליחיו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10-15</w:t>
      </w:r>
      <w:r>
        <w:rPr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/>
        <w:t>50-100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אחסונה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לתושבי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המערבית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פלסטינאים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3782" w:leader="none"/>
        </w:tabs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3782" w:leader="none"/>
        </w:tabs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/>
        <w:t>14/07/05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כשעפנאן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במכוניתו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3782" w:leader="none"/>
        </w:tabs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3782" w:leader="none"/>
        </w:tabs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לשליחיו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tl w:val="true"/>
        </w:rPr>
        <w:t xml:space="preserve">. </w:t>
      </w:r>
      <w:r>
        <w:rPr>
          <w:rtl w:val="true"/>
        </w:rPr>
        <w:t>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3782" w:leader="none"/>
        </w:tabs>
        <w:ind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3782" w:leader="none"/>
        </w:tabs>
        <w:ind w:start="720" w:end="0"/>
        <w:jc w:val="both"/>
        <w:rPr/>
      </w:pP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קלצ</w:t>
      </w:r>
      <w:r>
        <w:rPr>
          <w:rtl w:val="true"/>
        </w:rPr>
        <w:t>'</w:t>
      </w:r>
      <w:r>
        <w:rPr>
          <w:rtl w:val="true"/>
        </w:rPr>
        <w:t>ניקוב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זיאד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3782" w:leader="none"/>
        </w:tabs>
        <w:ind w:start="720" w:end="0"/>
        <w:jc w:val="both"/>
        <w:rPr/>
      </w:pP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הפלאפון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3782" w:leader="none"/>
        </w:tabs>
        <w:ind w:start="720"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ההודעה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והסתירם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3782" w:leader="none"/>
        </w:tabs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tl w:val="true"/>
        </w:rPr>
        <w:t xml:space="preserve">.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למחסום</w:t>
      </w:r>
      <w:r>
        <w:rPr>
          <w:rtl w:val="true"/>
        </w:rPr>
        <w:t xml:space="preserve">, </w:t>
      </w:r>
      <w:r>
        <w:rPr>
          <w:rtl w:val="true"/>
        </w:rPr>
        <w:t>נבדקה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3782" w:leader="none"/>
        </w:tabs>
        <w:ind w:start="720" w:end="0"/>
        <w:jc w:val="both"/>
        <w:rPr/>
      </w:pPr>
      <w:r>
        <w:rPr>
          <w:rtl w:val="true"/>
        </w:rPr>
        <w:t>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tl w:val="true"/>
        </w:rPr>
        <w:t xml:space="preserve">, </w:t>
      </w:r>
      <w:r>
        <w:rPr>
          <w:rtl w:val="true"/>
        </w:rPr>
        <w:t>העמיסם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המלח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3782" w:leader="none"/>
        </w:tabs>
        <w:ind w:start="72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3782" w:leader="none"/>
        </w:tabs>
        <w:ind w:start="720"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לפלסטינאים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3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קרינאת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לדימונה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אינטליגנציה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בטשטוש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ובעמימות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האינפורמציה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להערכתה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4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נהרגו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פלסטינאים</w:t>
      </w:r>
      <w:r>
        <w:rPr>
          <w:rtl w:val="true"/>
        </w:rPr>
        <w:t xml:space="preserve">. 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שהוברח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לפלסטינאים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עפנאן</w:t>
      </w:r>
      <w:r>
        <w:rPr>
          <w:rtl w:val="true"/>
        </w:rPr>
        <w:t xml:space="preserve">,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מתריע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כנגדנו</w:t>
      </w:r>
      <w:r>
        <w:rPr>
          <w:rtl w:val="true"/>
        </w:rPr>
        <w:t xml:space="preserve">.  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וגוברת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עז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5</w:t>
      </w:r>
      <w:r>
        <w:rPr>
          <w:b/>
          <w:bCs/>
          <w:sz w:val="30"/>
          <w:szCs w:val="28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שהושמטו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העוקץ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18.5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24.7.05</w:t>
      </w:r>
      <w:r>
        <w:rPr>
          <w:rtl w:val="true"/>
        </w:rPr>
        <w:t xml:space="preserve">,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b/>
          <w:bCs/>
          <w:sz w:val="30"/>
          <w:szCs w:val="28"/>
        </w:rPr>
        <w:t>6</w:t>
      </w:r>
      <w:r>
        <w:rPr>
          <w:b/>
          <w:bCs/>
          <w:sz w:val="30"/>
          <w:szCs w:val="28"/>
          <w:rtl w:val="true"/>
        </w:rPr>
        <w:t>.</w:t>
      </w:r>
      <w:r>
        <w:rPr>
          <w:b/>
          <w:bCs/>
          <w:rtl w:val="true"/>
        </w:rPr>
        <w:t xml:space="preserve"> </w:t>
        <w:tab/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מופלגת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  <w:tab/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start="720" w:end="0"/>
        <w:jc w:val="both"/>
        <w:rPr/>
      </w:pP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מנצלים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4043/05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בניית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10.8.06</w:t>
      </w:r>
      <w:r>
        <w:rPr>
          <w:rtl w:val="true"/>
        </w:rPr>
        <w:t xml:space="preserve"> </w:t>
      </w:r>
      <w:r>
        <w:rPr>
          <w:rtl w:val="true"/>
        </w:rPr>
        <w:t>ופורסם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: </w:t>
      </w:r>
    </w:p>
    <w:p>
      <w:pPr>
        <w:pStyle w:val="Normal"/>
        <w:ind w:start="144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spacing w:val="10"/>
          <w:rtl w:val="true"/>
        </w:rPr>
        <w:t>לא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נדרשת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מומחיות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רבה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כדי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להבין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כי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הספקה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רציפה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ותחמושת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תורמת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להתמשכותו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האלימות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והטרור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נתיבי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הברחת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והתחמושת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מהווים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עורק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המזין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הפעילות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הטרוריסטית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חלק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בלתי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נפרד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ממנה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מאליו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יובן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כי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החומרה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הסיכון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והתיעוב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הנודעים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למעשי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הטרור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עצמם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אוצלים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ענישתם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המעורבים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בשלבים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המוקדמים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Cs/>
          <w:spacing w:val="10"/>
          <w:rtl w:val="true"/>
        </w:rPr>
        <w:t xml:space="preserve">- </w:t>
      </w:r>
      <w:r>
        <w:rPr>
          <w:b/>
          <w:b/>
          <w:bCs/>
          <w:spacing w:val="10"/>
          <w:rtl w:val="true"/>
        </w:rPr>
        <w:t>אך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החיוניים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Cs/>
          <w:spacing w:val="10"/>
          <w:rtl w:val="true"/>
        </w:rPr>
        <w:t xml:space="preserve">-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שרשרת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הטרור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תופעה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מדאיגה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וחמורה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אשר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נפרשה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משפט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קמא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ונשקפת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אף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ממקרים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קודמים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שהגיעו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לפתחו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המשפט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הינה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הברחת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דרך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הגבול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חבל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סיני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שבמצרים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שיטת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ההברחה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כורכת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יחדיו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שיתוף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פעולה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תושבי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סיני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לאזרחים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ישראלים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כאשר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הראשונים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מנצלים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היכרותם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הטובה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תוואי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השטח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בחצי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סיני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והאחרונים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מנצלים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Cs/>
          <w:spacing w:val="10"/>
          <w:rtl w:val="true"/>
        </w:rPr>
        <w:t xml:space="preserve">- </w:t>
      </w:r>
      <w:r>
        <w:rPr>
          <w:b/>
          <w:b/>
          <w:bCs/>
          <w:spacing w:val="10"/>
          <w:rtl w:val="true"/>
        </w:rPr>
        <w:t>מנצלים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לרעה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Cs/>
          <w:spacing w:val="10"/>
          <w:rtl w:val="true"/>
        </w:rPr>
        <w:t xml:space="preserve">-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נגישותם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ויכולת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התנועה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החופשית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שלהם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באזור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הגבול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מצידו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הישראלי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Cs/>
          <w:spacing w:val="10"/>
          <w:rtl w:val="true"/>
        </w:rPr>
        <w:t>(</w:t>
      </w:r>
      <w:r>
        <w:rPr>
          <w:b/>
          <w:b/>
          <w:bCs/>
          <w:spacing w:val="10"/>
          <w:rtl w:val="true"/>
        </w:rPr>
        <w:t>ראו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hyperlink r:id="rId18">
        <w:r>
          <w:rPr>
            <w:rStyle w:val="Hyperlink"/>
            <w:b/>
            <w:b/>
            <w:bCs/>
            <w:spacing w:val="10"/>
            <w:rtl w:val="true"/>
          </w:rPr>
          <w:t>ע</w:t>
        </w:r>
        <w:r>
          <w:rPr>
            <w:rStyle w:val="Hyperlink"/>
            <w:b/>
            <w:bCs/>
            <w:spacing w:val="10"/>
            <w:rtl w:val="true"/>
          </w:rPr>
          <w:t>"</w:t>
        </w:r>
        <w:r>
          <w:rPr>
            <w:rStyle w:val="Hyperlink"/>
            <w:b/>
            <w:b/>
            <w:bCs/>
            <w:spacing w:val="10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pacing w:val="10"/>
            <w:rtl w:val="true"/>
          </w:rPr>
          <w:t xml:space="preserve"> </w:t>
        </w:r>
        <w:r>
          <w:rPr>
            <w:rStyle w:val="Hyperlink"/>
            <w:b/>
            <w:bCs/>
            <w:spacing w:val="10"/>
          </w:rPr>
          <w:t>11475/04</w:t>
        </w:r>
      </w:hyperlink>
      <w:r>
        <w:rPr>
          <w:b/>
          <w:bCs/>
          <w:spacing w:val="10"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סוארכה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Cs/>
          <w:spacing w:val="10"/>
          <w:rtl w:val="true"/>
        </w:rPr>
        <w:t>(</w:t>
      </w:r>
      <w:r>
        <w:rPr>
          <w:b/>
          <w:b/>
          <w:bCs/>
          <w:spacing w:val="10"/>
          <w:rtl w:val="true"/>
        </w:rPr>
        <w:t>לא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פורסם</w:t>
      </w:r>
      <w:r>
        <w:rPr>
          <w:b/>
          <w:bCs/>
          <w:spacing w:val="10"/>
          <w:rtl w:val="true"/>
        </w:rPr>
        <w:t xml:space="preserve">), </w:t>
      </w:r>
      <w:r>
        <w:rPr>
          <w:b/>
          <w:b/>
          <w:bCs/>
          <w:spacing w:val="10"/>
          <w:rtl w:val="true"/>
        </w:rPr>
        <w:t>פיסקה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Cs/>
          <w:spacing w:val="10"/>
        </w:rPr>
        <w:t>5</w:t>
      </w:r>
      <w:r>
        <w:rPr>
          <w:b/>
          <w:bCs/>
          <w:spacing w:val="10"/>
          <w:rtl w:val="true"/>
        </w:rPr>
        <w:t xml:space="preserve">). </w:t>
      </w:r>
      <w:r>
        <w:rPr>
          <w:b/>
          <w:b/>
          <w:bCs/>
          <w:spacing w:val="10"/>
          <w:rtl w:val="true"/>
        </w:rPr>
        <w:t>המדינה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בערעורה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עמדה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הגורמים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המתמרצים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העוסקים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במלאכת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ההברחה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ביניהם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חדירוּת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הגבול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והגמול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הכספי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הצפוי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למבריחים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שהינו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גורם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פיתוי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משמעותי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רקע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המצב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הכלכלי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שומה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המשפט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להציב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משקל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נגד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בדמותה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ענישה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קשה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כואבת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ומרתיעה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אכן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בשנים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האחרונות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נוכח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אירועי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הטרור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ההולכים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ומתגברים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ניכרת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בפסיקה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מגמה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החמרה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בענישה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בגין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לרבות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ייבוא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Cs/>
          <w:spacing w:val="10"/>
          <w:rtl w:val="true"/>
        </w:rPr>
        <w:t>...</w:t>
      </w:r>
    </w:p>
    <w:p>
      <w:pPr>
        <w:pStyle w:val="Normal"/>
        <w:overflowPunct w:val="false"/>
        <w:autoSpaceDE w:val="false"/>
        <w:ind w:start="1440" w:end="0"/>
        <w:jc w:val="both"/>
        <w:rPr>
          <w:b/>
          <w:bCs/>
          <w:spacing w:val="10"/>
        </w:rPr>
      </w:pPr>
      <w:r>
        <w:rPr>
          <w:b/>
          <w:b/>
          <w:bCs/>
          <w:spacing w:val="10"/>
          <w:rtl w:val="true"/>
        </w:rPr>
        <w:t>במציאות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הבטחונית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הקשה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חיה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מדינת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ישראל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מוטלת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חובה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בתי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המשפט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להעניש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בחומרה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המורשעים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בעבירה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יבוא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ובעבירות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דומות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במיוחד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שעה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שהדבר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נעשה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תוך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חדירה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דרך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אחד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מגבולותיה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ישראל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אף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אין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הוכחה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ישירה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שהנשק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המוברח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מיועד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לידיהם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מחבלים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הרי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שיש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ליתן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משקל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לסוג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ולכמותם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הנשק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כאשר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מדובר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בהברחה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רובים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מסוג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קלצ</w:t>
      </w:r>
      <w:r>
        <w:rPr>
          <w:b/>
          <w:bCs/>
          <w:spacing w:val="10"/>
          <w:rtl w:val="true"/>
        </w:rPr>
        <w:t>'</w:t>
      </w:r>
      <w:r>
        <w:rPr>
          <w:b/>
          <w:b/>
          <w:bCs/>
          <w:spacing w:val="10"/>
          <w:rtl w:val="true"/>
        </w:rPr>
        <w:t>ניקוב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כפי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שהיה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במקרים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שעל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הפרק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ניתן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להניח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שהנשק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יגיע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לידי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גורמים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עוינים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לישראל</w:t>
      </w:r>
      <w:r>
        <w:rPr>
          <w:b/>
          <w:bCs/>
          <w:spacing w:val="10"/>
          <w:rtl w:val="true"/>
        </w:rPr>
        <w:t xml:space="preserve">. </w:t>
      </w:r>
      <w:r>
        <w:rPr>
          <w:b/>
          <w:b/>
          <w:bCs/>
          <w:spacing w:val="10"/>
          <w:rtl w:val="true"/>
        </w:rPr>
        <w:t>לכן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צריכה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הענישה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להיות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קשה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ומכאיבה</w:t>
      </w:r>
      <w:r>
        <w:rPr>
          <w:b/>
          <w:bCs/>
          <w:spacing w:val="10"/>
          <w:rtl w:val="true"/>
        </w:rPr>
        <w:t xml:space="preserve">, </w:t>
      </w:r>
      <w:r>
        <w:rPr>
          <w:b/>
          <w:b/>
          <w:bCs/>
          <w:spacing w:val="10"/>
          <w:rtl w:val="true"/>
        </w:rPr>
        <w:t>מתוך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תקווה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תביא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להרתעה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אלה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העוסקים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בהברחות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של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כלי</w:t>
      </w:r>
      <w:r>
        <w:rPr>
          <w:rFonts w:cs="Times New Roman"/>
          <w:b/>
          <w:b/>
          <w:bCs/>
          <w:spacing w:val="10"/>
          <w:rtl w:val="true"/>
        </w:rPr>
        <w:t xml:space="preserve"> </w:t>
      </w:r>
      <w:r>
        <w:rPr>
          <w:b/>
          <w:b/>
          <w:bCs/>
          <w:spacing w:val="10"/>
          <w:rtl w:val="true"/>
        </w:rPr>
        <w:t>נשק</w:t>
      </w:r>
      <w:r>
        <w:rPr>
          <w:b/>
          <w:bCs/>
          <w:spacing w:val="10"/>
          <w:rtl w:val="true"/>
        </w:rPr>
        <w:t>."</w:t>
      </w:r>
    </w:p>
    <w:p>
      <w:pPr>
        <w:pStyle w:val="Normal"/>
        <w:overflowPunct w:val="false"/>
        <w:autoSpaceDE w:val="false"/>
        <w:ind w:end="0"/>
        <w:jc w:val="both"/>
        <w:rPr>
          <w:b/>
          <w:bCs/>
          <w:spacing w:val="10"/>
          <w:sz w:val="22"/>
        </w:rPr>
      </w:pPr>
      <w:r>
        <w:rPr>
          <w:b/>
          <w:bCs/>
          <w:spacing w:val="10"/>
          <w:sz w:val="22"/>
          <w:rtl w:val="true"/>
        </w:rPr>
        <w:tab/>
      </w:r>
    </w:p>
    <w:p>
      <w:pPr>
        <w:pStyle w:val="Normal"/>
        <w:overflowPunct w:val="false"/>
        <w:autoSpaceDE w:val="false"/>
        <w:ind w:firstLine="720" w:end="0"/>
        <w:jc w:val="both"/>
        <w:rPr>
          <w:spacing w:val="10"/>
          <w:sz w:val="22"/>
        </w:rPr>
      </w:pPr>
      <w:r>
        <w:rPr>
          <w:spacing w:val="10"/>
          <w:sz w:val="22"/>
          <w:sz w:val="22"/>
          <w:rtl w:val="true"/>
        </w:rPr>
        <w:t>אלה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spacing w:val="10"/>
          <w:sz w:val="22"/>
          <w:sz w:val="22"/>
          <w:rtl w:val="true"/>
        </w:rPr>
        <w:t>וגם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spacing w:val="10"/>
          <w:sz w:val="22"/>
          <w:sz w:val="22"/>
          <w:rtl w:val="true"/>
        </w:rPr>
        <w:t>הדברים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spacing w:val="10"/>
          <w:sz w:val="22"/>
          <w:sz w:val="22"/>
          <w:rtl w:val="true"/>
        </w:rPr>
        <w:t>הבאים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spacing w:val="10"/>
          <w:sz w:val="22"/>
          <w:sz w:val="22"/>
          <w:rtl w:val="true"/>
        </w:rPr>
        <w:t>נאמרו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spacing w:val="10"/>
          <w:sz w:val="22"/>
          <w:sz w:val="22"/>
          <w:rtl w:val="true"/>
        </w:rPr>
        <w:t>באותו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spacing w:val="10"/>
          <w:sz w:val="22"/>
          <w:sz w:val="22"/>
          <w:rtl w:val="true"/>
        </w:rPr>
        <w:t>עניין</w:t>
      </w:r>
      <w:r>
        <w:rPr>
          <w:rFonts w:cs="Times New Roman"/>
          <w:spacing w:val="10"/>
          <w:sz w:val="22"/>
          <w:sz w:val="22"/>
          <w:rtl w:val="true"/>
        </w:rPr>
        <w:t xml:space="preserve"> </w:t>
      </w:r>
      <w:r>
        <w:rPr>
          <w:spacing w:val="10"/>
          <w:sz w:val="22"/>
          <w:rtl w:val="true"/>
        </w:rPr>
        <w:t xml:space="preserve">: </w:t>
      </w:r>
    </w:p>
    <w:p>
      <w:pPr>
        <w:pStyle w:val="Normal"/>
        <w:overflowPunct w:val="false"/>
        <w:autoSpaceDE w:val="false"/>
        <w:ind w:start="1440" w:end="0"/>
        <w:jc w:val="both"/>
        <w:rPr/>
      </w:pPr>
      <w:r>
        <w:rPr>
          <w:b/>
          <w:bCs/>
          <w:spacing w:val="10"/>
          <w:sz w:val="22"/>
          <w:rtl w:val="true"/>
        </w:rPr>
        <w:t>"</w:t>
      </w:r>
      <w:r>
        <w:rPr>
          <w:b/>
          <w:b/>
          <w:bCs/>
          <w:spacing w:val="10"/>
          <w:sz w:val="22"/>
          <w:sz w:val="22"/>
          <w:rtl w:val="true"/>
        </w:rPr>
        <w:t>כמובן</w:t>
      </w:r>
      <w:r>
        <w:rPr>
          <w:b/>
          <w:bCs/>
          <w:spacing w:val="10"/>
          <w:sz w:val="22"/>
          <w:rtl w:val="true"/>
        </w:rPr>
        <w:t xml:space="preserve">, </w:t>
      </w:r>
      <w:r>
        <w:rPr>
          <w:b/>
          <w:b/>
          <w:bCs/>
          <w:spacing w:val="10"/>
          <w:sz w:val="22"/>
          <w:sz w:val="22"/>
          <w:rtl w:val="true"/>
        </w:rPr>
        <w:t>השיקולים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rtl w:val="true"/>
        </w:rPr>
        <w:t>האחרים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rtl w:val="true"/>
        </w:rPr>
        <w:t>בהם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rtl w:val="true"/>
        </w:rPr>
        <w:t>מכירה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rtl w:val="true"/>
        </w:rPr>
        <w:t>תורת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rtl w:val="true"/>
        </w:rPr>
        <w:t>הענישה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b/>
          <w:bCs/>
          <w:spacing w:val="10"/>
          <w:sz w:val="22"/>
          <w:rtl w:val="true"/>
        </w:rPr>
        <w:t xml:space="preserve">- </w:t>
      </w:r>
      <w:r>
        <w:rPr>
          <w:b/>
          <w:b/>
          <w:bCs/>
          <w:spacing w:val="10"/>
          <w:sz w:val="22"/>
          <w:sz w:val="22"/>
          <w:rtl w:val="true"/>
        </w:rPr>
        <w:t>ובראשם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rtl w:val="true"/>
        </w:rPr>
        <w:t>עקרון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rtl w:val="true"/>
        </w:rPr>
        <w:t>הענישה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rtl w:val="true"/>
        </w:rPr>
        <w:t>האינדיבידואלית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rtl w:val="true"/>
        </w:rPr>
        <w:t>ושיקולי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rtl w:val="true"/>
        </w:rPr>
        <w:t>השיקום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b/>
          <w:bCs/>
          <w:spacing w:val="10"/>
          <w:sz w:val="22"/>
          <w:rtl w:val="true"/>
        </w:rPr>
        <w:t xml:space="preserve">- </w:t>
      </w:r>
      <w:r>
        <w:rPr>
          <w:b/>
          <w:b/>
          <w:bCs/>
          <w:spacing w:val="10"/>
          <w:sz w:val="22"/>
          <w:sz w:val="22"/>
          <w:rtl w:val="true"/>
        </w:rPr>
        <w:t>אינם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rtl w:val="true"/>
        </w:rPr>
        <w:t>מתאיינים</w:t>
      </w:r>
      <w:r>
        <w:rPr>
          <w:b/>
          <w:bCs/>
          <w:spacing w:val="10"/>
          <w:sz w:val="22"/>
          <w:rtl w:val="true"/>
        </w:rPr>
        <w:t xml:space="preserve">, </w:t>
      </w:r>
      <w:r>
        <w:rPr>
          <w:b/>
          <w:b/>
          <w:bCs/>
          <w:spacing w:val="10"/>
          <w:sz w:val="22"/>
          <w:sz w:val="22"/>
          <w:rtl w:val="true"/>
        </w:rPr>
        <w:t>אלא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rtl w:val="true"/>
        </w:rPr>
        <w:t>שמשקלם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rtl w:val="true"/>
        </w:rPr>
        <w:t>הסגולי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rtl w:val="true"/>
        </w:rPr>
        <w:t>ביחס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rtl w:val="true"/>
        </w:rPr>
        <w:t>לשיקול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rtl w:val="true"/>
        </w:rPr>
        <w:t>ההרתעה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rtl w:val="true"/>
        </w:rPr>
        <w:t>נמוך</w:t>
      </w:r>
      <w:r>
        <w:rPr>
          <w:rFonts w:cs="Times New Roman"/>
          <w:b/>
          <w:b/>
          <w:bCs/>
          <w:spacing w:val="10"/>
          <w:sz w:val="22"/>
          <w:sz w:val="22"/>
          <w:rtl w:val="true"/>
        </w:rPr>
        <w:t xml:space="preserve"> </w:t>
      </w:r>
      <w:r>
        <w:rPr>
          <w:b/>
          <w:b/>
          <w:bCs/>
          <w:spacing w:val="10"/>
          <w:sz w:val="22"/>
          <w:sz w:val="22"/>
          <w:rtl w:val="true"/>
        </w:rPr>
        <w:t>הוא</w:t>
      </w:r>
      <w:r>
        <w:rPr>
          <w:b/>
          <w:bCs/>
          <w:spacing w:val="10"/>
          <w:sz w:val="22"/>
          <w:rtl w:val="true"/>
        </w:rPr>
        <w:t xml:space="preserve">. </w:t>
      </w:r>
      <w:r>
        <w:rPr>
          <w:b/>
          <w:bCs/>
          <w:spacing w:val="10"/>
          <w:rtl w:val="true"/>
        </w:rPr>
        <w:t>"</w:t>
      </w:r>
    </w:p>
    <w:p>
      <w:pPr>
        <w:pStyle w:val="Normal"/>
        <w:overflowPunct w:val="false"/>
        <w:autoSpaceDE w:val="false"/>
        <w:ind w:firstLine="720" w:end="0"/>
        <w:jc w:val="both"/>
        <w:rPr>
          <w:spacing w:val="10"/>
          <w:sz w:val="28"/>
        </w:rPr>
      </w:pPr>
      <w:r>
        <w:rPr>
          <w:spacing w:val="10"/>
          <w:sz w:val="28"/>
          <w:rtl w:val="true"/>
        </w:rPr>
      </w:r>
    </w:p>
    <w:p>
      <w:pPr>
        <w:pStyle w:val="Normal"/>
        <w:overflowPunct w:val="false"/>
        <w:autoSpaceDE w:val="false"/>
        <w:ind w:start="720" w:end="0"/>
        <w:jc w:val="both"/>
        <w:rPr/>
      </w:pPr>
      <w:r>
        <w:rPr>
          <w:spacing w:val="10"/>
          <w:sz w:val="28"/>
          <w:sz w:val="28"/>
          <w:rtl w:val="true"/>
        </w:rPr>
        <w:t>כעולה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מתסקיר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שירות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המבחן</w:t>
      </w:r>
      <w:r>
        <w:rPr>
          <w:spacing w:val="10"/>
          <w:sz w:val="28"/>
          <w:rtl w:val="true"/>
        </w:rPr>
        <w:t xml:space="preserve">, </w:t>
      </w:r>
      <w:r>
        <w:rPr>
          <w:spacing w:val="10"/>
          <w:sz w:val="28"/>
          <w:sz w:val="28"/>
          <w:rtl w:val="true"/>
        </w:rPr>
        <w:t>הנאשם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ביצע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את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אשר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הורשע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בו</w:t>
      </w:r>
      <w:r>
        <w:rPr>
          <w:spacing w:val="10"/>
          <w:sz w:val="28"/>
          <w:rtl w:val="true"/>
        </w:rPr>
        <w:t xml:space="preserve">, </w:t>
      </w:r>
      <w:r>
        <w:rPr>
          <w:spacing w:val="10"/>
          <w:sz w:val="28"/>
          <w:sz w:val="28"/>
          <w:rtl w:val="true"/>
        </w:rPr>
        <w:t>מתוך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כניעה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לפיתוי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הכספי</w:t>
      </w:r>
      <w:r>
        <w:rPr>
          <w:spacing w:val="10"/>
          <w:sz w:val="28"/>
          <w:rtl w:val="true"/>
        </w:rPr>
        <w:t xml:space="preserve">. </w:t>
      </w:r>
      <w:r>
        <w:rPr>
          <w:spacing w:val="10"/>
          <w:sz w:val="28"/>
          <w:sz w:val="28"/>
          <w:rtl w:val="true"/>
        </w:rPr>
        <w:t>בעניין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זה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יש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לומר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כי</w:t>
      </w:r>
      <w:r>
        <w:rPr>
          <w:spacing w:val="10"/>
          <w:sz w:val="28"/>
          <w:rtl w:val="true"/>
        </w:rPr>
        <w:t xml:space="preserve">, </w:t>
      </w:r>
      <w:r>
        <w:rPr>
          <w:spacing w:val="10"/>
          <w:sz w:val="28"/>
          <w:sz w:val="28"/>
          <w:rtl w:val="true"/>
        </w:rPr>
        <w:t>יהיו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מניעי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הנאשם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אשר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יהיו</w:t>
      </w:r>
      <w:r>
        <w:rPr>
          <w:spacing w:val="10"/>
          <w:sz w:val="28"/>
          <w:rtl w:val="true"/>
        </w:rPr>
        <w:t xml:space="preserve">, </w:t>
      </w:r>
      <w:r>
        <w:rPr>
          <w:spacing w:val="10"/>
          <w:sz w:val="28"/>
          <w:sz w:val="28"/>
          <w:rtl w:val="true"/>
        </w:rPr>
        <w:t>אין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שום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נימוק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כלכלי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היכול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להצדיק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מעשה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נתעב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שכזה</w:t>
      </w:r>
      <w:r>
        <w:rPr>
          <w:spacing w:val="10"/>
          <w:sz w:val="28"/>
          <w:rtl w:val="true"/>
        </w:rPr>
        <w:t xml:space="preserve">, </w:t>
      </w:r>
      <w:r>
        <w:rPr>
          <w:spacing w:val="10"/>
          <w:sz w:val="28"/>
          <w:sz w:val="28"/>
          <w:rtl w:val="true"/>
        </w:rPr>
        <w:t>המעמיד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את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אזרחי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מדינת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ישראל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בסכנה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ממשית</w:t>
      </w:r>
      <w:r>
        <w:rPr>
          <w:spacing w:val="10"/>
          <w:sz w:val="28"/>
          <w:rtl w:val="true"/>
        </w:rPr>
        <w:t xml:space="preserve">, </w:t>
      </w:r>
      <w:r>
        <w:rPr>
          <w:spacing w:val="10"/>
          <w:sz w:val="28"/>
          <w:sz w:val="28"/>
          <w:rtl w:val="true"/>
        </w:rPr>
        <w:t>שכן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הנאשם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ידע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כי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קיימת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אפשרות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כי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כלי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הנשק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אשר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סייע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בהעברתם</w:t>
      </w:r>
      <w:r>
        <w:rPr>
          <w:spacing w:val="10"/>
          <w:sz w:val="28"/>
          <w:rtl w:val="true"/>
        </w:rPr>
        <w:t xml:space="preserve">, </w:t>
      </w:r>
      <w:r>
        <w:rPr>
          <w:spacing w:val="10"/>
          <w:sz w:val="28"/>
          <w:sz w:val="28"/>
          <w:rtl w:val="true"/>
        </w:rPr>
        <w:t>עלולים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להגיע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לידי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ידיים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עוינות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ולשמש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להרג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של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בני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אדם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חפים</w:t>
      </w:r>
      <w:r>
        <w:rPr>
          <w:rFonts w:cs="Times New Roman"/>
          <w:spacing w:val="10"/>
          <w:sz w:val="28"/>
          <w:sz w:val="28"/>
          <w:rtl w:val="true"/>
        </w:rPr>
        <w:t xml:space="preserve"> </w:t>
      </w:r>
      <w:r>
        <w:rPr>
          <w:spacing w:val="10"/>
          <w:sz w:val="28"/>
          <w:sz w:val="28"/>
          <w:rtl w:val="true"/>
        </w:rPr>
        <w:t>מפשע</w:t>
      </w:r>
      <w:r>
        <w:rPr>
          <w:spacing w:val="10"/>
          <w:sz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פלסטינים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עפנאן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לעפנאן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b/>
          <w:bCs/>
        </w:rPr>
      </w:pPr>
      <w:r>
        <w:rPr>
          <w:b/>
          <w:b/>
          <w:bCs/>
          <w:rtl w:val="true"/>
        </w:rPr>
        <w:t>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: </w:t>
      </w:r>
    </w:p>
    <w:p>
      <w:pPr>
        <w:pStyle w:val="Normal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1"/>
          <w:numId w:val="2"/>
        </w:numPr>
        <w:ind w:hanging="720" w:start="1800"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24.7.05</w:t>
      </w:r>
      <w:r>
        <w:rPr>
          <w:b/>
          <w:bCs/>
          <w:rtl w:val="true"/>
        </w:rPr>
        <w:t>.</w:t>
      </w:r>
    </w:p>
    <w:p>
      <w:pPr>
        <w:pStyle w:val="Normal"/>
        <w:ind w:start="108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80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hanging="720" w:start="180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hanging="720" w:start="1800"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>.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. </w:t>
      </w:r>
    </w:p>
    <w:p>
      <w:pPr>
        <w:pStyle w:val="Normal"/>
        <w:ind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</w:p>
    <w:p>
      <w:pPr>
        <w:pStyle w:val="Normal"/>
        <w:keepNext w:val="true"/>
        <w:spacing w:lineRule="auto" w:line="240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  <w:bookmarkStart w:id="21" w:name="Decision1"/>
      <w:bookmarkStart w:id="22" w:name="Decision1"/>
      <w:bookmarkEnd w:id="22"/>
    </w:p>
    <w:p>
      <w:pPr>
        <w:pStyle w:val="Normal"/>
        <w:keepNext w:val="true"/>
        <w:spacing w:lineRule="auto" w:line="240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24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חני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סלוטקי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54678313-8229/05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בחשון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באוקטובר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                                                                                </w:t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סלוטקי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240"/>
        <w:ind w:end="0"/>
        <w:jc w:val="start"/>
        <w:rPr>
          <w:b/>
          <w:bCs/>
          <w:color w:val="000000"/>
        </w:rPr>
      </w:pPr>
      <w:bookmarkStart w:id="23" w:name="Decision1"/>
      <w:bookmarkEnd w:id="23"/>
      <w:r>
        <w:rPr>
          <w:b/>
          <w:bCs/>
        </w:rPr>
        <w:t>008229/05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055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ממן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240"/>
        <w:ind w:end="0"/>
        <w:jc w:val="start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נוסח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מסמך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כפוף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לשינויי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ניסוח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ועריכה</w:t>
      </w:r>
    </w:p>
    <w:sectPr>
      <w:headerReference w:type="default" r:id="rId19"/>
      <w:footerReference w:type="default" r:id="rId20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/Users/liorb/Downloads/study2025-p2/m05008229-347.doc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8229/05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אוסצמה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חסן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ע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ול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8"/>
      <w:numFmt w:val="decimal"/>
      <w:lvlText w:val="%1."/>
      <w:lvlJc w:val="end"/>
      <w:pPr>
        <w:tabs>
          <w:tab w:val="num" w:pos="1080"/>
        </w:tabs>
        <w:ind w:start="1080" w:hanging="720"/>
      </w:pPr>
      <w:rPr>
        <w:sz w:val="28"/>
      </w:rPr>
    </w:lvl>
    <w:lvl w:ilvl="1">
      <w:start w:val="1"/>
      <w:numFmt w:val="hebrew1"/>
      <w:lvlText w:val="%2."/>
      <w:lvlJc w:val="start"/>
      <w:pPr>
        <w:tabs>
          <w:tab w:val="num" w:pos="1800"/>
        </w:tabs>
        <w:ind w:start="1800" w:hanging="72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center"/>
      <w:outlineLvl w:val="4"/>
    </w:pPr>
    <w:rPr>
      <w:b/>
      <w:bCs/>
      <w:sz w:val="34"/>
      <w:szCs w:val="3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both"/>
      <w:outlineLvl w:val="6"/>
    </w:pPr>
    <w:rPr>
      <w:b/>
      <w:bCs/>
      <w:u w:val="single"/>
    </w:rPr>
  </w:style>
  <w:style w:type="character" w:styleId="WW8Num1z0">
    <w:name w:val="WW8Num1z0"/>
    <w:qFormat/>
    <w:rPr>
      <w:sz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tabs>
        <w:tab w:val="clear" w:pos="720"/>
        <w:tab w:val="left" w:pos="0" w:leader="none"/>
      </w:tabs>
      <w:ind w:hanging="0" w:start="720" w:end="0"/>
      <w:jc w:val="start"/>
    </w:pPr>
    <w:rPr>
      <w:rFonts w:cs="Times New Roman"/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75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5227" TargetMode="External"/><Relationship Id="rId8" Type="http://schemas.openxmlformats.org/officeDocument/2006/relationships/hyperlink" Target="http://www.nevo.co.il/law/5227/43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25" TargetMode="External"/><Relationship Id="rId13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law/5227/43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law/70301/275" TargetMode="External"/><Relationship Id="rId17" Type="http://schemas.openxmlformats.org/officeDocument/2006/relationships/hyperlink" Target="http://www.nevo.co.il/case/5735726" TargetMode="External"/><Relationship Id="rId18" Type="http://schemas.openxmlformats.org/officeDocument/2006/relationships/hyperlink" Target="http://www.nevo.co.il/case/6180844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2016-10-25T16:23:00Z</dcterms:created>
  <dc:creator> </dc:creator>
  <dc:description/>
  <cp:keywords/>
  <dc:language>en-IL</dc:language>
  <cp:lastModifiedBy>yafit</cp:lastModifiedBy>
  <cp:lastPrinted>2006-10-23T11:55:00Z</cp:lastPrinted>
  <dcterms:modified xsi:type="dcterms:W3CDTF">2016-10-25T16:23:00Z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אוסצמה בן חסן אל - ע'ול</vt:lpwstr>
  </property>
  <property fmtid="{D5CDD505-2E9C-101B-9397-08002B2CF9AE}" pid="4" name="CASESLISTTMP1">
    <vt:lpwstr>5735726;6180844</vt:lpwstr>
  </property>
  <property fmtid="{D5CDD505-2E9C-101B-9397-08002B2CF9AE}" pid="5" name="CITY">
    <vt:lpwstr>ב"ש</vt:lpwstr>
  </property>
  <property fmtid="{D5CDD505-2E9C-101B-9397-08002B2CF9AE}" pid="6" name="DATE">
    <vt:lpwstr>20061023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חני סלוטקי</vt:lpwstr>
  </property>
  <property fmtid="{D5CDD505-2E9C-101B-9397-08002B2CF9AE}" pid="10" name="LAWLISTTMP1">
    <vt:lpwstr>70301/499.a.1;144.b;025;275:2</vt:lpwstr>
  </property>
  <property fmtid="{D5CDD505-2E9C-101B-9397-08002B2CF9AE}" pid="11" name="LAWLISTTMP2">
    <vt:lpwstr>5227/043</vt:lpwstr>
  </property>
  <property fmtid="{D5CDD505-2E9C-101B-9397-08002B2CF9AE}" pid="12" name="LAWYER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8229</vt:lpwstr>
  </property>
  <property fmtid="{D5CDD505-2E9C-101B-9397-08002B2CF9AE}" pid="30" name="PROCYEAR">
    <vt:lpwstr>05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7</vt:lpwstr>
  </property>
</Properties>
</file>