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008282/03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מרוז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13/07/2005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0"/>
              </w:rPr>
            </w:pPr>
            <w:r>
              <w:rPr>
                <w:b/>
                <w:bCs/>
                <w:sz w:val="32"/>
                <w:szCs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אלבחירי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רושדי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נידון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בחירי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אלגרינאוי</w:t>
            </w:r>
          </w:p>
        </w:tc>
      </w:tr>
    </w:tbl>
    <w:p>
      <w:pPr>
        <w:pStyle w:val="Heading"/>
        <w:bidi w:val="0"/>
        <w:spacing w:lineRule="auto" w:line="360"/>
        <w:jc w:val="star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  <w:bookmarkStart w:id="8" w:name="Decision1"/>
      <w:bookmarkStart w:id="9" w:name="צד_ג"/>
      <w:bookmarkStart w:id="10" w:name="Decision1"/>
      <w:bookmarkStart w:id="11" w:name="צד_ג"/>
      <w:bookmarkEnd w:id="10"/>
      <w:bookmarkEnd w:id="11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color w:val="000000"/>
          <w:sz w:val="26"/>
          <w:sz w:val="26"/>
          <w:szCs w:val="26"/>
          <w:rtl w:val="true"/>
        </w:rPr>
        <w:t>לערעור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בעליון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Cs w:val="26"/>
          <w:rtl w:val="true"/>
        </w:rPr>
        <w:t>(</w:t>
      </w:r>
      <w:r>
        <w:rPr>
          <w:rFonts w:cs="FrankRuehl"/>
          <w:color w:val="000000"/>
          <w:sz w:val="26"/>
          <w:sz w:val="26"/>
          <w:szCs w:val="26"/>
          <w:rtl w:val="true"/>
        </w:rPr>
        <w:t>נדחה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color w:val="000000"/>
          <w:sz w:val="26"/>
          <w:szCs w:val="26"/>
        </w:rPr>
        <w:t>11.5.06</w:t>
      </w:r>
      <w:r>
        <w:rPr>
          <w:rFonts w:cs="FrankRuehl"/>
          <w:color w:val="000000"/>
          <w:sz w:val="26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10212/05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עלא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בחירי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ביניש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לוי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ארב</w:t>
      </w:r>
      <w:bookmarkStart w:id="12" w:name="LawTable"/>
      <w:bookmarkEnd w:id="12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13" w:name="LawTable_End"/>
      <w:bookmarkStart w:id="14" w:name="LawTable_End"/>
      <w:bookmarkEnd w:id="14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</w:rPr>
      </w:pPr>
      <w:r>
        <w:rPr>
          <w:rFonts w:cs="FrankRuehl"/>
          <w:sz w:val="26"/>
          <w:sz w:val="26"/>
          <w:szCs w:val="26"/>
          <w:rtl w:val="true"/>
        </w:rPr>
        <w:t>ל</w:t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color w:val="000000"/>
          <w:sz w:val="26"/>
          <w:szCs w:val="26"/>
        </w:rPr>
      </w:pPr>
      <w:r>
        <w:rPr>
          <w:rFonts w:cs="FrankRuehl"/>
          <w:color w:val="000000"/>
          <w:sz w:val="26"/>
          <w:szCs w:val="26"/>
          <w:rtl w:val="true"/>
        </w:rPr>
      </w:r>
    </w:p>
    <w:p>
      <w:pPr>
        <w:pStyle w:val="Heading"/>
        <w:spacing w:lineRule="auto" w:line="360"/>
        <w:ind w:end="0"/>
        <w:jc w:val="start"/>
        <w:rPr>
          <w:rFonts w:cs="FrankRuehl"/>
          <w:b w:val="false"/>
          <w:bCs w:val="false"/>
          <w:color w:val="000000"/>
          <w:sz w:val="12"/>
          <w:szCs w:val="12"/>
        </w:rPr>
      </w:pPr>
      <w:r>
        <w:rPr>
          <w:rFonts w:cs="FrankRuehl"/>
          <w:b w:val="false"/>
          <w:bCs w:val="false"/>
          <w:color w:val="000000"/>
          <w:sz w:val="12"/>
          <w:szCs w:val="12"/>
          <w:rtl w:val="true"/>
        </w:rPr>
      </w:r>
    </w:p>
    <w:p>
      <w:pPr>
        <w:pStyle w:val="Heading"/>
        <w:spacing w:lineRule="auto" w:line="360"/>
        <w:ind w:end="0"/>
        <w:jc w:val="start"/>
        <w:rPr>
          <w:b w:val="false"/>
          <w:bCs w:val="false"/>
          <w:color w:val="000000"/>
          <w:sz w:val="12"/>
          <w:szCs w:val="12"/>
        </w:rPr>
      </w:pPr>
      <w:r>
        <w:rPr>
          <w:b w:val="false"/>
          <w:bCs w:val="false"/>
          <w:color w:val="000000"/>
          <w:sz w:val="12"/>
          <w:szCs w:val="12"/>
          <w:rtl w:val="true"/>
        </w:rPr>
      </w:r>
    </w:p>
    <w:p>
      <w:pPr>
        <w:pStyle w:val="Heading"/>
        <w:spacing w:lineRule="auto" w:line="360"/>
        <w:ind w:end="0"/>
        <w:jc w:val="start"/>
        <w:rPr>
          <w:b w:val="false"/>
          <w:bCs w:val="false"/>
          <w:color w:val="000000"/>
          <w:sz w:val="12"/>
          <w:szCs w:val="12"/>
        </w:rPr>
      </w:pPr>
      <w:r>
        <w:rPr>
          <w:b w:val="false"/>
          <w:bCs w:val="false"/>
          <w:color w:val="000000"/>
          <w:sz w:val="12"/>
          <w:szCs w:val="12"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  <w:sz w:val="36"/>
          <w:szCs w:val="36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color w:val="000000"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20" w:name="ABSTRACT_END"/>
      <w:bookmarkEnd w:id="20"/>
      <w:r>
        <w:rPr>
          <w:rtl w:val="true"/>
        </w:rPr>
        <w:t>.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האגוז</w:t>
      </w:r>
      <w:r>
        <w:rPr>
          <w:rtl w:val="true"/>
        </w:rPr>
        <w:t>.</w:t>
      </w:r>
    </w:p>
    <w:p>
      <w:pPr>
        <w:pStyle w:val="Normal"/>
        <w:ind w:hanging="33" w:start="75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ind w:hanging="33" w:start="753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אנפלגד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ממתקיה</w:t>
      </w:r>
      <w:r>
        <w:rPr>
          <w:rtl w:val="true"/>
        </w:rPr>
        <w:t xml:space="preserve">",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ממתקיה</w:t>
      </w:r>
      <w:r>
        <w:rPr>
          <w:rtl w:val="true"/>
        </w:rPr>
        <w:t xml:space="preserve">" </w:t>
      </w:r>
      <w:r>
        <w:rPr>
          <w:rtl w:val="true"/>
        </w:rPr>
        <w:t>שבמקום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.</w:t>
      </w:r>
      <w:r>
        <w:br w:type="page"/>
      </w:r>
    </w:p>
    <w:p>
      <w:pPr>
        <w:pStyle w:val="Normal"/>
        <w:ind w:hanging="720" w:start="753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ממתקיה</w:t>
      </w:r>
      <w:r>
        <w:rPr>
          <w:rtl w:val="true"/>
        </w:rPr>
        <w:t xml:space="preserve">"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עדשת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רודפיו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התרומם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53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firstLine="3" w:start="1440" w:end="1276"/>
        <w:jc w:val="both"/>
        <w:rPr>
          <w:szCs w:val="20"/>
        </w:rPr>
      </w:pPr>
      <w:r>
        <w:rPr>
          <w:b/>
          <w:bCs/>
          <w:szCs w:val="22"/>
          <w:rtl w:val="true"/>
        </w:rPr>
        <w:t>"</w:t>
      </w:r>
      <w:r>
        <w:rPr>
          <w:b/>
          <w:b/>
          <w:bCs/>
          <w:szCs w:val="22"/>
          <w:rtl w:val="true"/>
        </w:rPr>
        <w:t>ברי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גם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כי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ביקש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לדקור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המתלונן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ולשם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דלק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אחריו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בדבקות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לאורך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מרחק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מבלי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להרפות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נחישותו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להשיג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המתלונן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כדי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לחבול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ניכרה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עליו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היטב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בכניסתו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</w:t>
      </w:r>
      <w:r>
        <w:rPr>
          <w:b/>
          <w:bCs/>
          <w:szCs w:val="22"/>
          <w:rtl w:val="true"/>
        </w:rPr>
        <w:t>"</w:t>
      </w:r>
      <w:r>
        <w:rPr>
          <w:b/>
          <w:b/>
          <w:bCs/>
          <w:szCs w:val="22"/>
          <w:rtl w:val="true"/>
        </w:rPr>
        <w:t>ממתקיה</w:t>
      </w:r>
      <w:r>
        <w:rPr>
          <w:b/>
          <w:bCs/>
          <w:szCs w:val="22"/>
          <w:rtl w:val="true"/>
        </w:rPr>
        <w:t xml:space="preserve">", </w:t>
      </w:r>
      <w:r>
        <w:rPr>
          <w:b/>
          <w:b/>
          <w:bCs/>
          <w:szCs w:val="22"/>
          <w:rtl w:val="true"/>
        </w:rPr>
        <w:t>כאשר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מיהר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בעקבות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המתלונן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בין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המדפים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והמשיך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במרדף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גם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כאשר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האחרון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ביקש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לצאת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מהחנות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ואף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לאחר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שהכריעו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ארצה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הניח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לו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עד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אשר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דקר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אותו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בחזהו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הדקירה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נעשתה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אפוא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במודע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מתוך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כוונה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ברורה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ומיוחדת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לפגוע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במתלונן</w:t>
      </w:r>
      <w:r>
        <w:rPr>
          <w:b/>
          <w:bCs/>
          <w:szCs w:val="22"/>
          <w:rtl w:val="true"/>
        </w:rPr>
        <w:t xml:space="preserve">... </w:t>
      </w:r>
      <w:r>
        <w:rPr>
          <w:b/>
          <w:b/>
          <w:bCs/>
          <w:szCs w:val="22"/>
          <w:rtl w:val="true"/>
        </w:rPr>
        <w:t>ההחלטה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לדקור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המתלונן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גמלה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בלבו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טרם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הגיעו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</w:t>
      </w:r>
      <w:r>
        <w:rPr>
          <w:b/>
          <w:bCs/>
          <w:szCs w:val="22"/>
          <w:rtl w:val="true"/>
        </w:rPr>
        <w:t>"</w:t>
      </w:r>
      <w:r>
        <w:rPr>
          <w:b/>
          <w:b/>
          <w:bCs/>
          <w:szCs w:val="22"/>
          <w:rtl w:val="true"/>
        </w:rPr>
        <w:t>ממתקיה</w:t>
      </w:r>
      <w:r>
        <w:rPr>
          <w:b/>
          <w:bCs/>
          <w:szCs w:val="22"/>
          <w:rtl w:val="true"/>
        </w:rPr>
        <w:t xml:space="preserve">".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עמ</w:t>
      </w:r>
      <w:r>
        <w:rPr>
          <w:szCs w:val="20"/>
          <w:rtl w:val="true"/>
        </w:rPr>
        <w:t xml:space="preserve">' </w:t>
      </w:r>
      <w:r>
        <w:rPr>
          <w:szCs w:val="20"/>
        </w:rPr>
        <w:t>134</w:t>
      </w:r>
      <w:r>
        <w:rPr>
          <w:szCs w:val="20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53"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)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ליפול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 xml:space="preserve">-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שהניפה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ind w:hanging="33" w:start="753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9133/04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גורדון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</w:r>
      <w:r>
        <w:rPr/>
        <w:t>2571</w:t>
      </w:r>
      <w:r>
        <w:rPr>
          <w:rtl w:val="true"/>
        </w:rPr>
        <w:t xml:space="preserve">,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):</w:t>
      </w:r>
    </w:p>
    <w:p>
      <w:pPr>
        <w:pStyle w:val="Normal"/>
        <w:ind w:hanging="33" w:start="753"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ind w:start="1440" w:end="1276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  <w:t>"</w:t>
      </w:r>
      <w:r>
        <w:rPr>
          <w:b/>
          <w:b/>
          <w:bCs/>
          <w:szCs w:val="22"/>
          <w:rtl w:val="true"/>
        </w:rPr>
        <w:t>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בהם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בית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העליון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הוסיפו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והתריעו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שוב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ושוב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אותה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מגפה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שפשתה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במחנה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והיא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מגפת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תת</w:t>
      </w:r>
      <w:r>
        <w:rPr>
          <w:b/>
          <w:bCs/>
          <w:szCs w:val="22"/>
          <w:rtl w:val="true"/>
        </w:rPr>
        <w:t>-</w:t>
      </w:r>
      <w:r>
        <w:rPr>
          <w:b/>
          <w:b/>
          <w:bCs/>
          <w:szCs w:val="22"/>
          <w:rtl w:val="true"/>
        </w:rPr>
        <w:t>תרבות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הסכין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צעירים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נושאים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עימהם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סכינים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למיניהן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משל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המדובר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בפריט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לבוש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הכרחי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כממחטה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כדבר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אחר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שאדם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נושא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בכיסו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כמפתח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כמכשיר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טלפון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נייד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וסכין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הנישאת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גוף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במערכה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הראשונה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סופה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שהיא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נשלפת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וננעצת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בגופו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הזולת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במערכה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השניה</w:t>
      </w:r>
      <w:r>
        <w:rPr>
          <w:b/>
          <w:bCs/>
          <w:szCs w:val="22"/>
          <w:rtl w:val="true"/>
        </w:rPr>
        <w:t xml:space="preserve">..... </w:t>
      </w:r>
      <w:r>
        <w:rPr>
          <w:b/>
          <w:b/>
          <w:bCs/>
          <w:szCs w:val="22"/>
          <w:rtl w:val="true"/>
        </w:rPr>
        <w:t>הסכינים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למיניהם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תפשו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כיום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מקום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החרבות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ובצד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האקדחים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משמשות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אף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מכשיר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ליישובם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חילוקי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דעות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תופעה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ממאירה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זו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מטילה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חובה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למיגורה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המוחלט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ודרכם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בית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להעלות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תרומה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ראויה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בין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השאר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דרך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הטלתם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עונשים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חמורים</w:t>
      </w:r>
      <w:r>
        <w:rPr>
          <w:b/>
          <w:bCs/>
          <w:szCs w:val="22"/>
          <w:rtl w:val="true"/>
        </w:rPr>
        <w:t xml:space="preserve">. ... </w:t>
      </w:r>
      <w:r>
        <w:rPr>
          <w:b/>
          <w:b/>
          <w:bCs/>
          <w:szCs w:val="22"/>
          <w:rtl w:val="true"/>
        </w:rPr>
        <w:t>אותם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צעירים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הנושאים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סכינים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גופם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ונועצים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אותן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בגופו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הזולת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אינם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תמיד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ובהכרח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עבריינים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מועדים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ובמקום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שהנאשם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הוא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נער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עבר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פלילי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מתלבטים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אחת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לגזור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הצעיר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עונש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מאסר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שמא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יחבר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בבית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הכלא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לעבריינים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מועדים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ויצא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מבית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הכלא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עבריין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התלבטות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זו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התלבטות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אמת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היא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התלבטות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ראויה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ואולם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המגיפה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שפשתה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במחנה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קשה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וכה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ממאירה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חייבים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להעלות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את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תרומתם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למלחמה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דרך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ענישה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מרתיעה</w:t>
      </w:r>
      <w:r>
        <w:rPr>
          <w:b/>
          <w:bCs/>
          <w:szCs w:val="22"/>
          <w:rtl w:val="true"/>
        </w:rPr>
        <w:t xml:space="preserve">. </w:t>
      </w:r>
      <w:r>
        <w:rPr>
          <w:b/>
          <w:b/>
          <w:bCs/>
          <w:szCs w:val="22"/>
          <w:rtl w:val="true"/>
        </w:rPr>
        <w:t>וענישה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מרתיעה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בהקשר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הדברים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פירושה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היא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שליחתו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של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נאשם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לבית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האסורים</w:t>
      </w:r>
      <w:r>
        <w:rPr>
          <w:b/>
          <w:bCs/>
          <w:szCs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440" w:end="1276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hanging="33" w:start="753"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7126/04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7564/04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אחמד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גדיר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>:</w:t>
      </w:r>
    </w:p>
    <w:p>
      <w:pPr>
        <w:pStyle w:val="Normal"/>
        <w:ind w:hanging="33" w:start="753"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BlockText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; "</w:t>
      </w:r>
    </w:p>
    <w:p>
      <w:pPr>
        <w:pStyle w:val="Normal"/>
        <w:ind w:hanging="33" w:start="753"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Normal"/>
        <w:ind w:hanging="720" w:start="753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687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15.2.04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26.4.04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21.10.04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hanging="687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753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bookmarkStart w:id="21" w:name="Decision1"/>
      <w:bookmarkStart w:id="22" w:name="צד_ג"/>
      <w:bookmarkEnd w:id="21"/>
      <w:bookmarkEnd w:id="22"/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1809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/>
        <w:t>08282/03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/Users/liorb/Downloads/study2025-p2/m03008282-574.doc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0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8282/03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אלבחירי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רושדי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נידון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lockText">
    <w:name w:val="Block Text"/>
    <w:basedOn w:val="Normal"/>
    <w:qFormat/>
    <w:pPr>
      <w:ind w:hanging="0" w:start="1440" w:end="1276"/>
      <w:jc w:val="both"/>
    </w:pPr>
    <w:rPr>
      <w:b/>
      <w:bCs/>
      <w:szCs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914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case/6145792" TargetMode="External"/><Relationship Id="rId7" Type="http://schemas.openxmlformats.org/officeDocument/2006/relationships/hyperlink" Target="http://www.nevo.co.il/case/609603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2017-06-19T12:32:00Z</dcterms:created>
  <dc:creator> </dc:creator>
  <dc:description/>
  <cp:keywords/>
  <dc:language>en-IL</dc:language>
  <cp:lastModifiedBy>run</cp:lastModifiedBy>
  <cp:lastPrinted>2005-07-13T14:46:00Z</cp:lastPrinted>
  <dcterms:modified xsi:type="dcterms:W3CDTF">2017-06-19T12:32:00Z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אלבחירי רושדי;בחירי עלא</vt:lpwstr>
  </property>
  <property fmtid="{D5CDD505-2E9C-101B-9397-08002B2CF9AE}" pid="4" name="CASESLISTTMP1">
    <vt:lpwstr>5791452;6145792;6096035;6096036</vt:lpwstr>
  </property>
  <property fmtid="{D5CDD505-2E9C-101B-9397-08002B2CF9AE}" pid="5" name="CITY">
    <vt:lpwstr>ב"ש</vt:lpwstr>
  </property>
  <property fmtid="{D5CDD505-2E9C-101B-9397-08002B2CF9AE}" pid="6" name="DATE">
    <vt:lpwstr>20050713</vt:lpwstr>
  </property>
  <property fmtid="{D5CDD505-2E9C-101B-9397-08002B2CF9AE}" pid="7" name="DELEMATA">
    <vt:lpwstr>http://elyon2.court.gov.il/scripts9/mgrqispi93.dll?Appname=eScourt&amp;Prgname=GetFileDetails&amp;Arguments=-N2005-006911-0</vt:lpwstr>
  </property>
  <property fmtid="{D5CDD505-2E9C-101B-9397-08002B2CF9AE}" pid="8" name="ISABSTRACT">
    <vt:lpwstr>Y</vt:lpwstr>
  </property>
  <property fmtid="{D5CDD505-2E9C-101B-9397-08002B2CF9AE}" pid="9" name="JUDGE">
    <vt:lpwstr>ורדה מרוז</vt:lpwstr>
  </property>
  <property fmtid="{D5CDD505-2E9C-101B-9397-08002B2CF9AE}" pid="10" name="LAWLISTTMP1">
    <vt:lpwstr>70301/329.a.1</vt:lpwstr>
  </property>
  <property fmtid="{D5CDD505-2E9C-101B-9397-08002B2CF9AE}" pid="11" name="LAWYER">
    <vt:lpwstr>טל אדיר כהן;יונס אלגרינאוי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http://www.nevo.co.il/Psika_word/elyon/05102120-n01-e.doc;לערעור בעליון (נדחה, 11.5.06)#עפ 10212/05 עלא בחירי נ' מדינת ישראל#ד' ביניש, א' א' לוי, ע' ארבל</vt:lpwstr>
  </property>
  <property fmtid="{D5CDD505-2E9C-101B-9397-08002B2CF9AE}" pid="16" name="LINKK2">
    <vt:lpwstr>http://www.nevo.co.il/Psika_word/elyon/05069110-e04-et.doc;להחלטה בעליון (26-02-06) # ע''פ 6911/05 רושדי אלבחירי נ' מדינת ישראל # שופטים: שושנה ליבוביץ#עו''ד: מורשתי אמיר, פרקליטות המדינה</vt:lpwstr>
  </property>
  <property fmtid="{D5CDD505-2E9C-101B-9397-08002B2CF9AE}" pid="17" name="LINKK3">
    <vt:lpwstr>http://www.nevo.co.il/psika_word/mechozi/m03008282-540.doc;ל במחוזי (02-06-05) # תפ (ב''ש) 8282/03 מדינת ישראל נ' אלבחירי רושדי # שופטים: ורדה מרוז#עו''ד: עמיחי חביביאן, אוזן</vt:lpwstr>
  </property>
  <property fmtid="{D5CDD505-2E9C-101B-9397-08002B2CF9AE}" pid="18" name="LINKK4">
    <vt:lpwstr>http://www.nevo.co.il/psika_word/mechozi/m03008282-451.doc;להכרעת-דין במחוזי (23-05-05) # תפ (ב''ש) 8282/03 מדינת ישראל נ' אלבחירי רושדי # שופטים: ורדה מרוז#עו''ד: לילך וגנר, מאיה ג'ולסון, יונס אלגרינאוי</vt:lpwstr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8282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