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Decision1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000974/00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  <w:tab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אבידע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ab/>
              <w:tab/>
              <w:tab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ab/>
              <w:tab/>
              <w:tab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05/12/01</w:t>
            </w:r>
          </w:p>
        </w:tc>
      </w:tr>
    </w:tbl>
    <w:p>
      <w:pPr>
        <w:pStyle w:val="Heading"/>
        <w:ind w:end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2"/>
        <w:gridCol w:w="1"/>
        <w:gridCol w:w="1757"/>
        <w:gridCol w:w="3063"/>
        <w:gridCol w:w="2409"/>
      </w:tblGrid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גואנגול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Cs w:val="26"/>
              </w:rPr>
            </w:pPr>
            <w:bookmarkStart w:id="4" w:name="FirstLawyer"/>
            <w:bookmarkEnd w:id="4"/>
            <w:r>
              <w:rPr>
                <w:b/>
                <w:b/>
                <w:bCs/>
                <w:szCs w:val="26"/>
                <w:rtl w:val="true"/>
              </w:rPr>
              <w:t>מופיעים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למפ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ולסון</w:t>
            </w:r>
          </w:p>
        </w:tc>
      </w:tr>
    </w:tbl>
    <w:p>
      <w:pPr>
        <w:pStyle w:val="Heading"/>
        <w:ind w:end="0"/>
        <w:jc w:val="center"/>
        <w:rPr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  <w:rtl w:val="true"/>
        </w:rPr>
      </w:r>
      <w:bookmarkStart w:id="5" w:name="LawTable"/>
      <w:bookmarkStart w:id="6" w:name="LawTable"/>
      <w:bookmarkEnd w:id="6"/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</w:rPr>
      </w:pP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  <w:t xml:space="preserve">: </w:t>
      </w:r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338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single"/>
          <w:rtl w:val="true"/>
        </w:rPr>
      </w:r>
    </w:p>
    <w:p>
      <w:pPr>
        <w:pStyle w:val="Heading"/>
        <w:ind w:end="0"/>
        <w:jc w:val="center"/>
        <w:rPr>
          <w:rFonts w:ascii="FrankRuehl" w:hAnsi="FrankRuehl" w:cs="FrankRuehl"/>
          <w:b w:val="false"/>
          <w:bCs w:val="false"/>
          <w:color w:val="000000"/>
          <w:sz w:val="32"/>
          <w:szCs w:val="32"/>
        </w:rPr>
      </w:pPr>
      <w:r>
        <w:rPr>
          <w:rFonts w:cs="FrankRuehl" w:ascii="FrankRuehl" w:hAnsi="FrankRuehl"/>
          <w:b w:val="false"/>
          <w:bCs w:val="false"/>
          <w:color w:val="000000"/>
          <w:sz w:val="32"/>
          <w:szCs w:val="32"/>
          <w:rtl w:val="true"/>
        </w:rPr>
      </w:r>
      <w:bookmarkStart w:id="7" w:name="LawTable_End"/>
      <w:bookmarkStart w:id="8" w:name="LawTable_End"/>
      <w:bookmarkEnd w:id="8"/>
    </w:p>
    <w:p>
      <w:pPr>
        <w:pStyle w:val="Heading"/>
        <w:ind w:end="0"/>
        <w:jc w:val="center"/>
        <w:rPr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  <w:rtl w:val="true"/>
        </w:rPr>
      </w:r>
    </w:p>
    <w:p>
      <w:pPr>
        <w:pStyle w:val="Heading"/>
        <w:ind w:end="0"/>
        <w:jc w:val="center"/>
        <w:rPr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  <w:rtl w:val="true"/>
        </w:rPr>
      </w:r>
    </w:p>
    <w:p>
      <w:pPr>
        <w:pStyle w:val="Heading"/>
        <w:ind w:end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rtl w:val="true"/>
        </w:rPr>
      </w:r>
    </w:p>
    <w:p>
      <w:pPr>
        <w:pStyle w:val="Heading"/>
        <w:ind w:end="0"/>
        <w:jc w:val="center"/>
        <w:rPr>
          <w:color w:val="000000"/>
          <w:sz w:val="32"/>
          <w:szCs w:val="32"/>
          <w:u w:val="single"/>
        </w:rPr>
      </w:pPr>
      <w:bookmarkStart w:id="9" w:name="PsakDin"/>
      <w:bookmarkEnd w:id="9"/>
      <w:r>
        <w:rPr>
          <w:color w:val="000000"/>
          <w:sz w:val="32"/>
          <w:sz w:val="32"/>
          <w:szCs w:val="32"/>
          <w:u w:val="single"/>
          <w:rtl w:val="true"/>
        </w:rPr>
        <w:t>גזר דין</w:t>
      </w:r>
    </w:p>
    <w:p>
      <w:pPr>
        <w:pStyle w:val="Heading"/>
        <w:ind w:hanging="720" w:start="720" w:end="0"/>
        <w:jc w:val="both"/>
        <w:rPr/>
      </w:pPr>
      <w:bookmarkStart w:id="10" w:name="PsakDin"/>
      <w:bookmarkEnd w:id="10"/>
      <w:r>
        <w:rPr>
          <w:b w:val="false"/>
          <w:bCs w:val="false"/>
          <w:color w:val="000000"/>
          <w:sz w:val="24"/>
          <w:szCs w:val="24"/>
        </w:rPr>
        <w:t>1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bookmarkStart w:id="11" w:name="ABSTRACT_START"/>
      <w:bookmarkEnd w:id="11"/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שהינו רווק בן </w:t>
      </w:r>
      <w:r>
        <w:rPr>
          <w:b w:val="false"/>
          <w:bCs w:val="false"/>
          <w:color w:val="000000"/>
          <w:sz w:val="24"/>
          <w:szCs w:val="24"/>
        </w:rPr>
        <w:t>24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שנים כיום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הורשע על פי הודאתו – במסגרת הסדר טיעון שהושג בין הצדדים ביום </w:t>
      </w:r>
      <w:r>
        <w:rPr>
          <w:b w:val="false"/>
          <w:bCs w:val="false"/>
          <w:color w:val="000000"/>
          <w:sz w:val="24"/>
          <w:szCs w:val="24"/>
        </w:rPr>
        <w:t>16.5.01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ושבעקבותיו תוקן כתב האישום בשנית – בעבירה של </w:t>
      </w:r>
      <w:r>
        <w:rPr>
          <w:color w:val="000000"/>
          <w:sz w:val="24"/>
          <w:sz w:val="24"/>
          <w:szCs w:val="24"/>
          <w:rtl w:val="true"/>
        </w:rPr>
        <w:t>נשיאה והובלת נשק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לפי </w:t>
      </w:r>
      <w:hyperlink r:id="rId5">
        <w:r>
          <w:rPr>
            <w:rStyle w:val="Hyperlink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</w:rPr>
          <w:t>144</w:t>
        </w:r>
        <w:r>
          <w:rPr>
            <w:rStyle w:val="Hyperlink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rtl w:val="true"/>
          </w:rPr>
          <w:t>)</w:t>
        </w:r>
      </w:hyperlink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לחוק העונשין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התשל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ז – </w:t>
      </w:r>
      <w:r>
        <w:rPr>
          <w:b w:val="false"/>
          <w:bCs w:val="false"/>
          <w:color w:val="000000"/>
          <w:sz w:val="24"/>
          <w:szCs w:val="24"/>
        </w:rPr>
        <w:t>1977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ובעבירה של </w:t>
      </w:r>
      <w:r>
        <w:rPr>
          <w:color w:val="000000"/>
          <w:sz w:val="24"/>
          <w:sz w:val="24"/>
          <w:szCs w:val="24"/>
          <w:rtl w:val="true"/>
        </w:rPr>
        <w:t>מעשה פזיזות ורשלנות</w:t>
      </w:r>
      <w:r>
        <w:rPr>
          <w:color w:val="000000"/>
          <w:sz w:val="24"/>
          <w:szCs w:val="24"/>
          <w:rtl w:val="true"/>
        </w:rPr>
        <w:t>,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לפי </w:t>
      </w:r>
      <w:hyperlink r:id="rId6">
        <w:r>
          <w:rPr>
            <w:rStyle w:val="Hyperlink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</w:rPr>
          <w:t>338</w:t>
        </w:r>
        <w:r>
          <w:rPr>
            <w:rStyle w:val="Hyperlink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color w:val="0000FF"/>
            <w:sz w:val="24"/>
            <w:szCs w:val="24"/>
          </w:rPr>
          <w:t>3</w:t>
        </w:r>
        <w:r>
          <w:rPr>
            <w:rStyle w:val="Hyperlink"/>
            <w:color w:val="0000FF"/>
            <w:sz w:val="24"/>
            <w:szCs w:val="24"/>
            <w:rtl w:val="true"/>
          </w:rPr>
          <w:t>)</w:t>
        </w:r>
      </w:hyperlink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לחוק האמור</w:t>
      </w:r>
      <w:bookmarkStart w:id="12" w:name="ABSTRACT_END"/>
      <w:bookmarkEnd w:id="12"/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העובדות המקימות את העבירות האמורות – כמתואר בכתב האישום המתוקן הנ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ושבהן הודה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כאמור – הן כדלהלן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: </w:t>
      </w:r>
    </w:p>
    <w:p>
      <w:pPr>
        <w:pStyle w:val="Heading"/>
        <w:ind w:hanging="720" w:start="144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ביום </w:t>
      </w:r>
      <w:r>
        <w:rPr>
          <w:b w:val="false"/>
          <w:bCs w:val="false"/>
          <w:color w:val="000000"/>
          <w:sz w:val="24"/>
          <w:szCs w:val="24"/>
        </w:rPr>
        <w:t>1.11.00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סמוך לפני השעה </w:t>
      </w:r>
      <w:r>
        <w:rPr>
          <w:b w:val="false"/>
          <w:bCs w:val="false"/>
          <w:color w:val="000000"/>
          <w:sz w:val="24"/>
          <w:szCs w:val="24"/>
        </w:rPr>
        <w:t>02:23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אחר חצות הליל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נשא הנאשם והוביל – בלא רשות על פי דין – רימון יד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וזאת סמוך למזנון המכונה 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מתוק מתוק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",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בקרית גת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1440" w:end="0"/>
        <w:jc w:val="both"/>
        <w:rPr>
          <w:b w:val="false"/>
          <w:bCs w:val="false"/>
          <w:color w:val="FFFFFF"/>
          <w:sz w:val="4"/>
          <w:szCs w:val="4"/>
        </w:rPr>
      </w:pPr>
      <w:r>
        <w:rPr>
          <w:b w:val="false"/>
          <w:bCs w:val="false"/>
          <w:color w:val="FFFFFF"/>
          <w:sz w:val="4"/>
          <w:szCs w:val="4"/>
          <w:rtl w:val="true"/>
        </w:rPr>
      </w:r>
    </w:p>
    <w:p>
      <w:pPr>
        <w:pStyle w:val="Heading"/>
        <w:ind w:hanging="720" w:start="1440" w:end="0"/>
        <w:jc w:val="both"/>
        <w:rPr/>
      </w:pPr>
      <w:r>
        <w:rPr>
          <w:b w:val="false"/>
          <w:bCs w:val="false"/>
          <w:color w:val="FFFFFF"/>
          <w:sz w:val="4"/>
          <w:szCs w:val="4"/>
        </w:rPr>
        <w:t>5129371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באותו מועד השליך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בפזיזות וברשלנות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את הרימון – שהינו חומר נפיץ – לעבר המזנון הנ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ובעקבות התפוצצות הרימון נגרמו למזנון נזקים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שכללו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: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עקירת נורה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שברים ברצפה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חורים בתריס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ושבירת שימשה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כן נגרם נזק לרהיטים שהיו בחנות הסמוכה למזנון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  <w:tab/>
      </w:r>
    </w:p>
    <w:p>
      <w:pPr>
        <w:pStyle w:val="Heading"/>
        <w:ind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יצויין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הסדר הטיעון האמור – ולהבדיל מהסדר הטיעון שקדם לו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ואשר לא יצא אל הפועל – אינו כולל הסכמה באשר לענש אשר יושת על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ובין הצדדים הוסכם כי כל צד יהא רשאי לטעון באורח 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חופשי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"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לענש הראוי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נ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2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טרם נעמוד על טיעוני הצדדים לענש ועל כלל הנסיבות הצריכות לזה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נציין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לאורך כל תקופת התנהלות הדיונים בתיק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מאז תחילתם – הן בטרם הרשעת הנאשם על פי הסדר הטיעון הסופי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והן אף לאחריה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ועד עובר לישיבה בה נשמעו הטיעונים לענש – גילה הנאשם התנהגות מוזרה וחריגה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בלשון המעטה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שהתבטאה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בין היתר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בסירובו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בתחילה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וללא כל טעם הגיוני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כי ימונה לו סניגור מטעם הסניגוריה הציבורית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משלא היה מיוצג על ידי עו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ד מטעמו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ואף לאחר שהוסברו לו הצורך והחיוניות שבהיותו מיוצג על ידי סניגור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בסירובו לצאת מתאו בבית המעצר לצורך הבאתו לדיונים בבית המשפט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בסירובו אף לעלות מחדר המעצר של בית המשפט לאולם הדיונים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גם כשכבר נאות להיות מובא לבית המשפט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ובסירובו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גם לאחר שהודה והורשע במסגרת הסדר הטיעון הסופי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להפגש עם קצין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לצורך הכנת תסקיר משלים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כן הוברר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הנאשם עשה מספר נסיונות אובדניים בבית המעצר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ואף בחדר המעצר של בית המשפט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באחת הפעמים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ובטרם הורשע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כאמור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איים להתאבד – על ידי חיתוך עצמו באמצעות סכין גילוח שהחזיק – אם יאולץ לעלות לאולם בית המשפט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על רקע כל אלה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נדרשנו לשתי חוות דעת פסיכיאטריות במהלך הדיונים בפנינו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על מנת  להיות משוכנעים כי הנאשם כשיר לעמוד לדין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וכן על מנת לעמוד על מצבו הנפשי בעת ביצוע העבירות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היינו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אם היה אחראי למעשיו באותה עת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למרות שכבר בתחילת הדיונים הוצגה בפנינו על ידי ב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כ המאשימה חוות דעת פסיכיאטרית מיום </w:t>
      </w:r>
      <w:r>
        <w:rPr>
          <w:b w:val="false"/>
          <w:bCs w:val="false"/>
          <w:color w:val="000000"/>
          <w:sz w:val="24"/>
          <w:szCs w:val="24"/>
        </w:rPr>
        <w:t>12.12.00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שנערכה במסגרת הליכי מעצרו של הנאשם בקשר עם העבירות נשוא תיק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ואשר ממנה עולה כי הנאשם כשיר לעמוד בדין וכי היה אחראי למעשיו בעת ביצוע העבירות האמורות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ואכן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מחוות הדעת הפסיכיאטרית מיום </w:t>
      </w:r>
      <w:r>
        <w:rPr>
          <w:b w:val="false"/>
          <w:bCs w:val="false"/>
          <w:color w:val="000000"/>
          <w:sz w:val="24"/>
          <w:szCs w:val="24"/>
        </w:rPr>
        <w:t>26.3.01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שהוגשה לנו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על פי החלטותינו מיום </w:t>
      </w:r>
      <w:r>
        <w:rPr>
          <w:b w:val="false"/>
          <w:bCs w:val="false"/>
          <w:color w:val="000000"/>
          <w:sz w:val="24"/>
          <w:szCs w:val="24"/>
        </w:rPr>
        <w:t>21.2.01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ומיום </w:t>
      </w:r>
      <w:r>
        <w:rPr>
          <w:b w:val="false"/>
          <w:bCs w:val="false"/>
          <w:color w:val="000000"/>
          <w:sz w:val="24"/>
          <w:szCs w:val="24"/>
        </w:rPr>
        <w:t>21.3.01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ובטרם הורשע הנאשם – ואשר התבססה גם על נתוני ההסתכלות והבדיקות שנערכו לנאשם עובר להגשת חוות הדעת הפסיכיאטרית הראשונה הנ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 – עולה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כי הנאשם אובחן כמי שסובל 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מהפרעת אישיות לא בשלה עם קווים אנטיסוציאליים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",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שהתבטאו בין היתר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בצריכת סמים ואלכוהול מאז היותו בן </w:t>
      </w:r>
      <w:r>
        <w:rPr>
          <w:b w:val="false"/>
          <w:bCs w:val="false"/>
          <w:color w:val="000000"/>
          <w:sz w:val="24"/>
          <w:szCs w:val="24"/>
        </w:rPr>
        <w:t>13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שנים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באשר למצבו הנפשי של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נאמר גם בחוות דעת זו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הנאשם כשיר ומסוגל לעמוד בדין וכי גם בעת ביצוע העבירות נשוא כתב האישום היה אחראי על מעשיו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עם זאת – כך נאמר עוד בחוות דעת זו – הרי שלאור הנסיונות האובדניים בעבר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קיימת סכנה לביצוע ניסיונות אובדניים נוספים בעתיד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בסיכום חוות הדעת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הומלץ על טיפול גמילה מסמים ומאלכוהול – אם הנאשם יביע רצון לכך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לחוות דעת פסיכיאטרית נוספת ועדכנית נדרשנו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בעקבות המלצת שירות המבחן בתסקירו השני מיום </w:t>
      </w:r>
      <w:r>
        <w:rPr>
          <w:b w:val="false"/>
          <w:bCs w:val="false"/>
          <w:color w:val="000000"/>
          <w:sz w:val="24"/>
          <w:szCs w:val="24"/>
        </w:rPr>
        <w:t>3.9.01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 -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היינו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לאחר הרשעת הנאשם – וזאת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לאחר שהנאשם סירב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כאמור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להפגש עם קצין המבחן לצורך הכנת תסקיר משלים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בטרם הטיעונים לענש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והוסיף לבצע נסיונות אובדניים בבית המעצר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ב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בחוות דעת נוספת זו מיום </w:t>
      </w:r>
      <w:r>
        <w:rPr>
          <w:b w:val="false"/>
          <w:bCs w:val="false"/>
          <w:color w:val="000000"/>
          <w:sz w:val="24"/>
          <w:szCs w:val="24"/>
        </w:rPr>
        <w:t>22.10.01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–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שהוגשה לנו על פי החלטתנו מיום </w:t>
      </w:r>
      <w:r>
        <w:rPr>
          <w:b w:val="false"/>
          <w:bCs w:val="false"/>
          <w:color w:val="000000"/>
          <w:sz w:val="24"/>
          <w:szCs w:val="24"/>
        </w:rPr>
        <w:t>5.9.01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בה הורינו כי בפני הפסיכיאטר תעמודנה גם שתי חוות הדעת הפסיכיאטריות הקודמות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-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שב הפסיכיאטר המחוזי על האבחנה והמסקנות שנקבעו בשתי חוות הדעת האמורות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וכאמור לעיל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עוד הוסיף הפסיכיאטר המחוזי  והביע דעתו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בחוות דעת זו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אין נראה לו שיש לנאשם מוטיבציה להיגמל מסמים או מאלכוהול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ו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3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בתסקיר הראשון של שירות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מיום </w:t>
      </w:r>
      <w:r>
        <w:rPr>
          <w:b w:val="false"/>
          <w:bCs w:val="false"/>
          <w:color w:val="000000"/>
          <w:sz w:val="24"/>
          <w:szCs w:val="24"/>
        </w:rPr>
        <w:t>21.6.01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סקר קצין המבחן את ריקעו ונסיבותיו האישיות של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מתסקיר זה עולה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כי הנאשם עלה ארצה בשנת </w:t>
      </w:r>
      <w:r>
        <w:rPr>
          <w:b w:val="false"/>
          <w:bCs w:val="false"/>
          <w:color w:val="000000"/>
          <w:sz w:val="24"/>
          <w:szCs w:val="24"/>
        </w:rPr>
        <w:t>1979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בהיותו בן </w:t>
      </w:r>
      <w:r>
        <w:rPr>
          <w:b w:val="false"/>
          <w:bCs w:val="false"/>
          <w:color w:val="000000"/>
          <w:sz w:val="24"/>
          <w:szCs w:val="24"/>
        </w:rPr>
        <w:t>3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שנים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עם הוריו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סיים </w:t>
      </w:r>
      <w:r>
        <w:rPr>
          <w:b w:val="false"/>
          <w:bCs w:val="false"/>
          <w:color w:val="000000"/>
          <w:sz w:val="24"/>
          <w:szCs w:val="24"/>
        </w:rPr>
        <w:t>5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שנות לימוד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בלבד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ולא גוייס לצה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 עקב מעורבותו בפלילים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הנאשם מכור לסמים קשים מגיל צעיר ונמצא בתהליך גיבוש דפוסי התנהגות עברייניים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הוא גדל במשפחה בעייתית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הוריו התגרשו לפני כ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- </w:t>
      </w:r>
      <w:r>
        <w:rPr>
          <w:b w:val="false"/>
          <w:bCs w:val="false"/>
          <w:color w:val="000000"/>
          <w:sz w:val="24"/>
          <w:szCs w:val="24"/>
        </w:rPr>
        <w:t>10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שנים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והוא התקשה להתמודד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ריגשית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עם פירוק התא המשפחתי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ועל רקע זה החל לגלות הפרעות התנהגות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יצר קשרים עם נוער שוליים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החל להשתמש בסמים ובאלכוהול ולהסתבך בעבירות פליליות רבות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ובעיקר בעבירות רכוש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שבגינן גם ריצה מספר תקופות מאסר בפועל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במצב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התגייס שירות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כבר לפני מספר שנים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לסייע לנאשם בנסיונות טיפוליים רבים ומגוונים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לרבות נסיונות גמילה והסדרתו במעון נעול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על מנת לגרום לשינוי בדפוסי התנהגותו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אך כל הנסיונות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כאמור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לא עלו יפה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עם 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הביע קצין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בתסקיר ראשון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את התרשמותו כי כיום מתחיל הנאשם לגלות סממנים ראשונים של מודעות למצבו הבעייתי ולצורך בסיוע חיצוני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והדבר מתבטא בהתיחסותו לעבירות נשוא תיק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אשר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לדבריו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ביצען בהיותו תחת השפעת סמים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במודעותו לדבר היות התמכרותו לסמים גורם מרכזי בהסתבכויותיו בפלילים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ובהבעת רצונו להיגמל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הוסיף קצין המבחן והביע דעתו בתסקיר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באשר לקשר ההדוק בין התמכרותו של הנאשם לסמים לבין הסתבכויותיו בפלילים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ובאופן שהנאשם זקוק להתערבות טיפולית אינטנסיבית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שתכלול טיפול גמילה מסמים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שכן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בלא התערבות טיפולית שכזו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קיים סיכון להמשך התנהגותו העבריינית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לפיכך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המליץ קצין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בתסקיר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ובסיכומו של דבר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לשקול שילובו של הנאשם בתהליך גמילה ממושך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בטרם ייגזר דינו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וכי לצורך זה יידחה מתן גזר הדין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לאור המלצה זו דחינו  את הדיון בעניינו של הנאשם ליום </w:t>
      </w:r>
      <w:r>
        <w:rPr>
          <w:b w:val="false"/>
          <w:bCs w:val="false"/>
          <w:color w:val="000000"/>
          <w:sz w:val="24"/>
          <w:szCs w:val="24"/>
        </w:rPr>
        <w:t>5.9.01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והורינו על הגשת תסקיר משלים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וזה הוגש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נ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בתסקיר שני זה מיום </w:t>
      </w:r>
      <w:r>
        <w:rPr>
          <w:b w:val="false"/>
          <w:bCs w:val="false"/>
          <w:color w:val="000000"/>
          <w:sz w:val="24"/>
          <w:szCs w:val="24"/>
        </w:rPr>
        <w:t>3.9.01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הודיענו קצין המבחן דבר סירובו של הנאשם להיפגש עימו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כאמור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ועל הדיווח שקיבל מאנשי הסגל בבית המעצר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בדבר המשך ביצוע נסיונות אובדניים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ב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בתסקיר זה – ותוך נסיגה ניכרת מהאופטימיות וההערכה הזהירה שגילה קצין המבחן בתסקירו הקודם – הביע קצין המבחן התרשמותו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נוכח כוחותיו הדלים ודפוסי התנהגותו העבריינים של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ונוכח העדר תמיכה סביבתית ומשפחתית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אין הוא בשל לתהליך גמילה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ואין נראה כי יוכל להפיק תועלת מקשר טיפולי עם שירות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עם 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ועקב אותם נסיונות אובדניים נוספים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ביקש שירות המבחן בתסקיר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להפנות את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שוב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לבדיקה פסיכיאטרית – היא אותה בדיקה נוספת עליה הורינו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ושבעקבותיה הוגשה לנו חוות הדעת הפסיכיאטרית האחרונה והעדכנית הנ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ל מיום </w:t>
      </w:r>
      <w:r>
        <w:rPr>
          <w:b w:val="false"/>
          <w:bCs w:val="false"/>
          <w:color w:val="000000"/>
          <w:sz w:val="24"/>
          <w:szCs w:val="24"/>
        </w:rPr>
        <w:t>22.10.01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–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וכי לאחריה יוגש לנו תסקיר נוסף ומשלים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לאחר עיונו של קצין המבחן בתוצאות חוות דעת פסיכיאטרית אחרונה זו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ולאחר פגישתו עם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הוגש לנו תסקיר משלים אחרון מיום </w:t>
      </w:r>
      <w:r>
        <w:rPr>
          <w:b w:val="false"/>
          <w:bCs w:val="false"/>
          <w:color w:val="000000"/>
          <w:sz w:val="24"/>
          <w:szCs w:val="24"/>
        </w:rPr>
        <w:t>15.11.01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בו הסביר קצין המבחן כי הלכה והתחזקה התרשמותו בדבר העדר מוטיבציה מצד הנאשם להיכנס לתהליך גמילה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ובדבר חוסר מודעותו לצורך בגיוס כוחות להתמודדות עם הקשיים הכרוכים בתהליך הגמילה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לפיכך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נמנע שירות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בסופו של דבר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מכל המלצה אודות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4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במסגרת הראיות לענין הענש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הוצג בפנינו גיליון הרישום הפלילי של הנאשם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ת</w:t>
      </w:r>
      <w:r>
        <w:rPr>
          <w:b w:val="false"/>
          <w:bCs w:val="false"/>
          <w:color w:val="000000"/>
          <w:sz w:val="24"/>
          <w:szCs w:val="24"/>
          <w:rtl w:val="true"/>
        </w:rPr>
        <w:t>/</w:t>
      </w:r>
      <w:r>
        <w:rPr>
          <w:b w:val="false"/>
          <w:bCs w:val="false"/>
          <w:color w:val="000000"/>
          <w:sz w:val="24"/>
          <w:szCs w:val="24"/>
        </w:rPr>
        <w:t>1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ממנו עולה כי כבר מגיל </w:t>
      </w:r>
      <w:r>
        <w:rPr>
          <w:b w:val="false"/>
          <w:bCs w:val="false"/>
          <w:color w:val="000000"/>
          <w:sz w:val="24"/>
          <w:szCs w:val="24"/>
        </w:rPr>
        <w:t>15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ועד הלום צבר הנאשם לחובתו עשרות עבירות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שעיקרן עבירות נגד הרכוש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בגין חלקן נידון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בביהמ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 לנוער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וללא הרשעה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למעון פתוח או למעון נעול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ובגין חלקן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הורשע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בבתימ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 השלום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ואף ריצה בגינן שלושה מאסרים בפועל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לתקופה מצטברת של </w:t>
      </w:r>
      <w:r>
        <w:rPr>
          <w:b w:val="false"/>
          <w:bCs w:val="false"/>
          <w:color w:val="000000"/>
          <w:sz w:val="24"/>
          <w:szCs w:val="24"/>
        </w:rPr>
        <w:t>34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חודשים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בטיעוניו לענש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עתר ב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 המאשימה להטיל על הנאשם מאסר בפועל ארוך ומרתיע לתקופה ממושכת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בנוסף למאסר מותנה משמעותי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הן נוכח עברו הפלילי המכביד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שבעטיו גם ריצה מספר תקופות מאסר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כאמור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ובעיקר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נוכח עצם חומרת העבירה הנוכחית נשוא תיק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הנעוצה בעצם החזקת הרימון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עם כל הסיכון הכרוך בדבר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וגם אם בפועל השימוש שנעשה בו היה תוך רשלנות ופזיזות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גרידא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עוד נטען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כי דווקא העובדה שזריקת הרימון לעבר הקיוסק בוצעה בהיות הנאשם 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כדבריו הוא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תחת השפעת סמים 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-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מוסיפה נופך חומרה לעבירה ומצביעה על הסכנה הרבה הטמונה בנאשם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בהיותו מכור לסמים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וככזה עלול הוא לחזור ולבצע עבירות דומות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לפיכך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מן הדין להשית עליו ענש מאסר משמעותי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לצורך הרתעתו בעתיד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וגם למען יראו אחרים וייראו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5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בטיעוניה של סניגוריתו המלומדת של הנאשם – אשר מן הראוי לציין לזכותה את הסבלנות הרבה שגילתה עם הנאשם ואת כל עשייתה למענו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בטוב טעם ודעת – הבהירה היא כי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אכן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עקב חומרת העבירות אין מנוס מהטלת מאסר בפועל על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ואולם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ויחד עם 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עתרה היא לענש מתון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אף אם מתוך מידת הרחמים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אם נוכח נסיבותיו האישיות הקשות של הנאשם שהפכו אותו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למעשה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לנפש אומללה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אם נוכח גילו הצעיר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אשר לאורו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ולמרות האמור בתסקירי שירות המבחן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נראה שעדיין יש תקווה לאחריתו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אם נוכח הודאתו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אשר בה מגולמת קבלת אחריות על מעשיו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ואם נוכח העובדה שהנאשם נתון מזה כשנה במעצר עד תום ההליכים – מעצר  שתנאיו קשים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לאין ערוך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מתנאיו של מאסר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ביקשה  הסניגורית להצביע על העובדה שלמרות החומרה שבעצם החזקת הרימון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הרי שהשימוש שנעשה בו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בפועל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היה אך מתוך פזיזות ורשלנות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והוא גם הושלך לעבר אותו מזנון בשעת לילה מאוחרת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כשאיש לא היה בסביבה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כך שלא נשקפה כל סכנה לחיי אדם או לבריאותו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ו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נסיבות אלו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לקולא – כך לדברי הסניגורית – מצדיקות ענישה מתונה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אשר יהא בה כדי לשקף את האיזון הראוי בין האינטרס החברתי לבין האינטרס של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וכדי ליתן לנאשם הזדמנות לשקם את חייו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למענו ולמען החברה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בדבריו בפנינו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הביע הנאשם צער וחרטה על המעשה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נשוא העבירות בהן הורשע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וטען כי בכוונתו 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לפתוח דף חדש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"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בחייו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כן טען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מזה כשנה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בה הוא נתון במעצר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חדל להשתמש בסמים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והוא נקי מהם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ומשום כך גם העדיף להמשיך להיות מוחזק בתנאי מעצר קשים יותר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במעצר לכיש ובמעצר נגב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ולא לעבור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כפי שהוצע לו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לכלא אהלי קידר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ששם תנאי המעצר נוחים יותר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רק כדי לא להימצא שם בחברת אסירים ועצורים המשתמשים בסמים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במצב זה – כך לדבריו – הובטח לו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כי עם מתן גזר דינו ושינוי מעמדו מעצור לאסיר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יוחזק באגף נ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ס </w:t>
      </w:r>
      <w:r>
        <w:rPr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אגף נקיים מסמים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). </w:t>
      </w:r>
    </w:p>
    <w:p>
      <w:pPr>
        <w:pStyle w:val="Heading"/>
        <w:ind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6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לדידנו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אין ספק בדבר החומרה הרבה הנעוצה בעצם החזקת הרימון ע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י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רימון 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הינו אמצעי העלול להיות קטלני והרה אסון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ולמרות שבפועל השימוש שנעשה בו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היה על ידי הנאשם ורק תוך רשלנות ופזיזות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הרי שלעולם אין לדעת לאלו ידיים עלול היה להתגלגל ואיזה שימוש היה נעשה בו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בפועל – שימוש שעלול היה גם לקפד חיי אדם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תופעה זו של החזקת נשק קטלני – ובכלל זה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רימון רסס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דוגמת זה אותו נשא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ובו עשה שימוש – הינה תופעה חמורה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אשר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לדאבוננו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אינה נדירה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כלל ועיקר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ונוכח הסכנה המרובה הגלומה בה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מן הדין לעשות כל שניתן על מנת לשרשה ולעוקרה מקירבנו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לרבות באמצעות ענישה מחמירה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העשויה להרתיע כל מי שבכוונתו להחזיק אמצעים מסוכנים שכאלה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ואולי בכך יצומצם היקפה של תופעה זו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גם אם לא תמוגר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לחלוטין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אלא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שיחד עם זאת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גם אמונים אנו על עקרון האינדיווידואליזציה שבענישה  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-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עקרון שביסודו עומד הצורך שבמתן הדעת גם על הנסיבות הקונקרטיות של כל מקרה ומקרה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הן מבחינת נסיבות העבירה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והן מבחינת הנסיבות האישיות של הנאשם שהורשע בה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hanging="720" w:start="72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7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לאחר ששקלנו את טיעוני הצדדים ואת כלל הנסיבות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כמפורט לעיל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גוזרים אנו על הנאשם את העונשים הבאים</w:t>
      </w:r>
      <w:r>
        <w:rPr>
          <w:b w:val="false"/>
          <w:bCs w:val="false"/>
          <w:color w:val="000000"/>
          <w:sz w:val="24"/>
          <w:szCs w:val="24"/>
          <w:rtl w:val="true"/>
        </w:rPr>
        <w:t>:</w:t>
      </w:r>
    </w:p>
    <w:p>
      <w:pPr>
        <w:pStyle w:val="Heading"/>
        <w:ind w:hanging="720" w:start="1440" w:end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מאסר בפועל לתקופה של שלוש שנים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אשר תימנה מיום מעצרו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hanging="720" w:start="1440" w:end="0"/>
        <w:jc w:val="both"/>
        <w:rPr/>
      </w:pP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</w:t>
      </w:r>
      <w:r>
        <w:rPr>
          <w:b w:val="false"/>
          <w:bCs w:val="false"/>
          <w:color w:val="000000"/>
          <w:sz w:val="24"/>
          <w:szCs w:val="24"/>
          <w:rtl w:val="true"/>
        </w:rPr>
        <w:t>.</w:t>
        <w:tab/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מאסר על תנאי של שנתיים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והתנאי הוא אם יעבור הנאשם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במשך </w:t>
      </w:r>
      <w:r>
        <w:rPr>
          <w:b w:val="false"/>
          <w:bCs w:val="false"/>
          <w:color w:val="000000"/>
          <w:sz w:val="24"/>
          <w:szCs w:val="24"/>
        </w:rPr>
        <w:t>3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שנים מיום שחרורו ממאסרו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</w:rPr>
          <w:t>144</w:t>
        </w:r>
        <w:r>
          <w:rPr>
            <w:rStyle w:val="Hyperlink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rtl w:val="true"/>
          </w:rPr>
          <w:t>)</w:t>
        </w:r>
      </w:hyperlink>
      <w:r>
        <w:rPr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לחוק העונשין התשל</w:t>
      </w:r>
      <w:r>
        <w:rPr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ז – </w:t>
      </w:r>
      <w:r>
        <w:rPr>
          <w:b w:val="false"/>
          <w:bCs w:val="false"/>
          <w:color w:val="000000"/>
          <w:sz w:val="24"/>
          <w:szCs w:val="24"/>
        </w:rPr>
        <w:t>1977</w:t>
      </w:r>
      <w:r>
        <w:rPr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Heading"/>
        <w:ind w:end="0"/>
        <w:jc w:val="center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rFonts w:cs="Times New Roman"/>
        </w:rPr>
      </w:pPr>
      <w:r>
        <w:rPr>
          <w:rFonts w:cs="Times New Roman"/>
        </w:rPr>
        <w:t>8</w:t>
      </w:r>
      <w:r>
        <w:rPr>
          <w:rFonts w:cs="Times New Roman"/>
          <w:rtl w:val="true"/>
        </w:rPr>
        <w:t>.</w:t>
        <w:tab/>
      </w:r>
      <w:r>
        <w:rPr>
          <w:rFonts w:cs="Times New Roman"/>
          <w:rtl w:val="true"/>
        </w:rPr>
        <w:t>בשולי גזר דין זה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ממליצים אנו בפני הגורמים בשירות בתי הסוהר לבחון אפשרות לשילוב הנאשם בתהליך גמילה מסמים – אם יימצא מתאים וראוי לכך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ואם יביע רצון כן לתהליך שכזה</w:t>
      </w:r>
      <w:r>
        <w:rPr>
          <w:rFonts w:cs="Times New Roman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2001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1177"/>
        <w:gridCol w:w="2366"/>
        <w:gridCol w:w="1046"/>
        <w:gridCol w:w="170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6"/>
              <w:ind w:end="0"/>
              <w:jc w:val="center"/>
              <w:rPr/>
            </w:pP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שופט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66" w:type="dxa"/>
            <w:tcBorders>
              <w:top w:val="single" w:sz="4" w:space="0" w:color="000000"/>
            </w:tcBorders>
          </w:tcPr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אזולאי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שופט</w:t>
            </w:r>
          </w:p>
        </w:tc>
        <w:tc>
          <w:tcPr>
            <w:tcW w:w="1046" w:type="dxa"/>
            <w:tcBorders/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705" w:type="dxa"/>
            <w:tcBorders>
              <w:top w:val="single" w:sz="4" w:space="0" w:color="000000"/>
            </w:tcBorders>
          </w:tcPr>
          <w:p>
            <w:pPr>
              <w:pStyle w:val="Heading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אבידע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3" w:name="Decision1"/>
      <w:bookmarkStart w:id="14" w:name="Decision1"/>
      <w:bookmarkEnd w:id="14"/>
    </w:p>
    <w:p>
      <w:pPr>
        <w:pStyle w:val="Normal"/>
        <w:ind w:end="0"/>
        <w:jc w:val="start"/>
        <w:rPr/>
      </w:pPr>
      <w:r>
        <w:rPr/>
        <w:t>000974/00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/Users/liorb/Downloads/study2025-p2/m00000974-104.doc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974/00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יואב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גואנגול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center"/>
      <w:outlineLvl w:val="5"/>
    </w:pPr>
    <w:rPr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Style9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8.3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8.3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2017-12-18T17:36:00Z</dcterms:created>
  <dc:creator> </dc:creator>
  <dc:description/>
  <cp:keywords/>
  <dc:language>en-IL</dc:language>
  <cp:lastModifiedBy>run</cp:lastModifiedBy>
  <dcterms:modified xsi:type="dcterms:W3CDTF">2017-12-18T17:36:00Z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יואב גואנגול</vt:lpwstr>
  </property>
  <property fmtid="{D5CDD505-2E9C-101B-9397-08002B2CF9AE}" pid="4" name="CITY">
    <vt:lpwstr>ב"ש</vt:lpwstr>
  </property>
  <property fmtid="{D5CDD505-2E9C-101B-9397-08002B2CF9AE}" pid="5" name="DATE">
    <vt:lpwstr>20011205</vt:lpwstr>
  </property>
  <property fmtid="{D5CDD505-2E9C-101B-9397-08002B2CF9AE}" pid="6" name="ISABSTRACT">
    <vt:lpwstr>Y</vt:lpwstr>
  </property>
  <property fmtid="{D5CDD505-2E9C-101B-9397-08002B2CF9AE}" pid="7" name="JUDGE">
    <vt:lpwstr>ר. אבידע;ב. אזולאי;ח. עמר</vt:lpwstr>
  </property>
  <property fmtid="{D5CDD505-2E9C-101B-9397-08002B2CF9AE}" pid="8" name="LAWLISTTMP1">
    <vt:lpwstr>70301/144.b:2;338.3</vt:lpwstr>
  </property>
  <property fmtid="{D5CDD505-2E9C-101B-9397-08002B2CF9AE}" pid="9" name="LAWYER">
    <vt:lpwstr>למפ;ג'ולסון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974</vt:lpwstr>
  </property>
  <property fmtid="{D5CDD505-2E9C-101B-9397-08002B2CF9AE}" pid="27" name="PROCYEAR">
    <vt:lpwstr>00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7</vt:lpwstr>
  </property>
</Properties>
</file>