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rFonts w:cs="Times New Roman"/>
          <w:b/>
          <w:bCs/>
          <w:sz w:val="22"/>
          <w:szCs w:val="22"/>
          <w:rtl w:val="true"/>
        </w:rPr>
        <w:t xml:space="preserve">                                                                                  </w:t>
      </w: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חדרה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001019/04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Guttman Calligraphic"/>
                <w:b/>
                <w:bCs/>
                <w:sz w:val="24"/>
                <w:szCs w:val="32"/>
              </w:rPr>
            </w:pPr>
            <w:r>
              <w:rPr>
                <w:rFonts w:cs="Guttman Calligraphic"/>
                <w:b/>
                <w:bCs/>
                <w:sz w:val="24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rFonts w:cs="Guttman Calligraphic"/>
                <w:sz w:val="26"/>
                <w:szCs w:val="26"/>
              </w:rPr>
            </w:pP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Guttman Calligraphic"/>
                <w:sz w:val="26"/>
                <w:szCs w:val="26"/>
                <w:rtl w:val="true"/>
              </w:rPr>
              <w:t xml:space="preserve">'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גינות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30/11/2004</w:t>
            </w:r>
          </w:p>
        </w:tc>
      </w:tr>
    </w:tbl>
    <w:p>
      <w:pPr>
        <w:pStyle w:val="Header"/>
        <w:ind w:end="0"/>
        <w:jc w:val="start"/>
        <w:rPr>
          <w:rFonts w:cs="Guttman Calligraphic"/>
          <w:sz w:val="24"/>
        </w:rPr>
      </w:pPr>
      <w:r>
        <w:rPr>
          <w:rFonts w:cs="Guttman Calligraphic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Guttman Calligraphic"/>
          <w:b/>
          <w:bCs/>
          <w:sz w:val="24"/>
        </w:rPr>
      </w:pPr>
      <w:r>
        <w:rPr>
          <w:rFonts w:cs="Guttman Calligraphic"/>
          <w:b/>
          <w:bCs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6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6" w:name="FirstLawyer"/>
            <w:bookmarkEnd w:id="6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פרנק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</w:p>
        </w:tc>
      </w:tr>
    </w:tbl>
    <w:p>
      <w:pPr>
        <w:pStyle w:val="Heading1"/>
        <w:spacing w:lineRule="auto" w:line="480"/>
        <w:ind w:end="0"/>
        <w:jc w:val="center"/>
        <w:rPr>
          <w:rFonts w:cs="Guttman Calligraphic"/>
          <w:b w:val="false"/>
          <w:bCs w:val="false"/>
          <w:u w:val="none"/>
        </w:rPr>
      </w:pPr>
      <w:r>
        <w:rPr>
          <w:rFonts w:cs="Guttman Calligraphic"/>
          <w:b w:val="false"/>
          <w:bCs w:val="false"/>
          <w:u w:val="none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auto" w:line="480"/>
        <w:ind w:end="0"/>
        <w:jc w:val="center"/>
        <w:rPr>
          <w:rFonts w:ascii="FrankRuehl" w:hAnsi="FrankRuehl" w:cs="Guttman Calligraphic"/>
          <w:b w:val="false"/>
          <w:bCs w:val="false"/>
          <w:sz w:val="24"/>
          <w:szCs w:val="24"/>
          <w:u w:val="none"/>
        </w:rPr>
      </w:pPr>
      <w:r>
        <w:rPr>
          <w:rFonts w:cs="Guttman Calligraphic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spacing w:lineRule="auto" w:line="480"/>
        <w:ind w:end="0"/>
        <w:jc w:val="center"/>
        <w:rPr>
          <w:rFonts w:cs="Guttman Calligraphic"/>
          <w:b w:val="false"/>
          <w:bCs w:val="false"/>
          <w:u w:val="none"/>
        </w:rPr>
      </w:pPr>
      <w:r>
        <w:rPr>
          <w:rFonts w:cs="Guttman Calligraphic"/>
          <w:b w:val="false"/>
          <w:bCs w:val="false"/>
          <w:u w:val="none"/>
          <w:rtl w:val="true"/>
        </w:rPr>
      </w:r>
    </w:p>
    <w:p>
      <w:pPr>
        <w:pStyle w:val="Heading1"/>
        <w:spacing w:lineRule="auto" w:line="480"/>
        <w:ind w:end="0"/>
        <w:jc w:val="center"/>
        <w:rPr>
          <w:rFonts w:cs="Guttman Calligraphic"/>
          <w:b w:val="false"/>
          <w:bCs w:val="false"/>
          <w:u w:val="none"/>
        </w:rPr>
      </w:pPr>
      <w:r>
        <w:rPr>
          <w:rFonts w:cs="Guttman Calligraphic"/>
          <w:b w:val="false"/>
          <w:bCs w:val="false"/>
          <w:u w:val="none"/>
          <w:rtl w:val="true"/>
        </w:rPr>
      </w:r>
    </w:p>
    <w:p>
      <w:pPr>
        <w:pStyle w:val="Heading1"/>
        <w:spacing w:lineRule="auto" w:line="480"/>
        <w:ind w:end="0"/>
        <w:jc w:val="center"/>
        <w:rPr>
          <w:rFonts w:cs="Guttman Calligraphic"/>
          <w:b w:val="false"/>
          <w:bCs w:val="false"/>
          <w:u w:val="none"/>
        </w:rPr>
      </w:pPr>
      <w:r>
        <w:rPr>
          <w:rFonts w:cs="Guttman Calligraphic"/>
          <w:b w:val="false"/>
          <w:bCs w:val="false"/>
          <w:u w:val="none"/>
          <w:rtl w:val="true"/>
        </w:rPr>
      </w:r>
    </w:p>
    <w:p>
      <w:pPr>
        <w:pStyle w:val="Heading1"/>
        <w:spacing w:lineRule="auto" w:line="480"/>
        <w:ind w:end="0"/>
        <w:jc w:val="center"/>
        <w:rPr>
          <w:rFonts w:cs="Guttman Calligraphic"/>
          <w:u w:val="none"/>
        </w:rPr>
      </w:pPr>
      <w:r>
        <w:rPr>
          <w:rFonts w:cs="Guttman Calligraphic"/>
          <w:u w:val="none"/>
          <w:rtl w:val="true"/>
        </w:rPr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rFonts w:cs="Guttman Calligraphic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Guttman Calligraphic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cs="Guttman Calligraphic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bookmarkStart w:id="15" w:name="PsakDin"/>
      <w:bookmarkStart w:id="16" w:name="ABSTRACT_START"/>
      <w:bookmarkEnd w:id="15"/>
      <w:bookmarkEnd w:id="16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: </w:t>
      </w:r>
      <w:hyperlink r:id="rId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7" w:name="ABSTRACT_END"/>
      <w:bookmarkEnd w:id="17"/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>: 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)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28/8/03</w:t>
      </w:r>
      <w:r>
        <w:rPr>
          <w:rtl w:val="true"/>
        </w:rPr>
        <w:t xml:space="preserve">,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למחייתם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8252/04</w:t>
        </w:r>
      </w:hyperlink>
      <w:r>
        <w:rPr>
          <w:rtl w:val="true"/>
        </w:rPr>
        <w:t xml:space="preserve"> </w:t>
      </w:r>
      <w:r>
        <w:rPr>
          <w:rtl w:val="true"/>
        </w:rPr>
        <w:t>אוסאמה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-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ניעמן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.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1575</w:t>
      </w:r>
      <w:r>
        <w:rPr>
          <w:rtl w:val="true"/>
        </w:rPr>
        <w:t xml:space="preserve">.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start="1208" w:end="935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ומחזיקי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480"/>
        <w:ind w:start="1208" w:end="935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והשוו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5066/98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נ</w:t>
      </w:r>
      <w:r>
        <w:rPr>
          <w:b/>
          <w:bCs/>
          <w:szCs w:val="22"/>
          <w:u w:val="single"/>
          <w:rtl w:val="true"/>
        </w:rPr>
        <w:t xml:space="preserve">' </w:t>
      </w:r>
      <w:r>
        <w:rPr>
          <w:b/>
          <w:b/>
          <w:bCs/>
          <w:szCs w:val="22"/>
          <w:u w:val="single"/>
          <w:rtl w:val="true"/>
        </w:rPr>
        <w:t>ניעמן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דחלה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ואח</w:t>
      </w:r>
      <w:r>
        <w:rPr>
          <w:b/>
          <w:bCs/>
          <w:szCs w:val="22"/>
          <w:u w:val="single"/>
          <w:rtl w:val="true"/>
        </w:rPr>
        <w:t>'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1574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end="0"/>
        <w:jc w:val="both"/>
        <w:rPr>
          <w:u w:val="single"/>
        </w:rPr>
      </w:pPr>
      <w:r>
        <w:rPr>
          <w:u w:val="single"/>
          <w:rtl w:val="true"/>
        </w:rPr>
        <w:t>מששקלתי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השיקולים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שהבאתי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הודיתו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שיוחסו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חרטתו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ונסיבותיו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החלטתי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 xml:space="preserve">: 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hanging="1646" w:start="1646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hanging="1646" w:start="1646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end="0"/>
        <w:jc w:val="both"/>
        <w:rPr/>
      </w:pP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>: 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1646" w:leader="none"/>
        </w:tabs>
        <w:spacing w:lineRule="auto" w:line="48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uppressLineNumbers/>
        <w:spacing w:lineRule="auto" w:line="480"/>
        <w:ind w:end="0"/>
        <w:jc w:val="both"/>
        <w:rPr>
          <w:b/>
          <w:bCs/>
        </w:rPr>
      </w:pPr>
      <w:bookmarkStart w:id="18" w:name="Decision1"/>
      <w:bookmarkEnd w:id="18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tbl>
      <w:tblPr>
        <w:tblW w:w="2343" w:type="dxa"/>
        <w:jc w:val="start"/>
        <w:tblInd w:w="617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43"/>
      </w:tblGrid>
      <w:tr>
        <w:trPr>
          <w:trHeight w:val="323" w:hRule="atLeast"/>
        </w:trPr>
        <w:tc>
          <w:tcPr>
            <w:tcW w:w="23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ורדה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  <w:r>
        <w:br w:type="page"/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rFonts w:cs="Guttman Calligraphic"/>
        </w:rPr>
      </w:pPr>
      <w:bookmarkStart w:id="21" w:name="Decision2"/>
      <w:bookmarkEnd w:id="21"/>
      <w:r>
        <w:rPr>
          <w:rFonts w:cs="Guttman Calligraphic"/>
          <w:rtl w:val="true"/>
        </w:rPr>
        <w:t>החלטה</w:t>
      </w:r>
    </w:p>
    <w:p>
      <w:pPr>
        <w:pStyle w:val="Normal"/>
        <w:ind w:end="0"/>
        <w:jc w:val="both"/>
        <w:rPr>
          <w:rFonts w:cs="Guttman Calligraphic"/>
        </w:rPr>
      </w:pPr>
      <w:r>
        <w:rPr>
          <w:rFonts w:cs="Guttman Calligraphic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3/2/05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343" w:type="dxa"/>
        <w:jc w:val="start"/>
        <w:tblInd w:w="617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43"/>
      </w:tblGrid>
      <w:tr>
        <w:trPr>
          <w:trHeight w:val="323" w:hRule="atLeast"/>
        </w:trPr>
        <w:tc>
          <w:tcPr>
            <w:tcW w:w="23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spacing w:lineRule="auto" w:line="360"/>
        <w:ind w:end="0"/>
        <w:jc w:val="both"/>
        <w:rPr>
          <w:rFonts w:cs="Guttman Yad"/>
          <w:szCs w:val="20"/>
        </w:rPr>
      </w:pPr>
      <w:r>
        <w:rPr>
          <w:rFonts w:cs="Guttman Yad"/>
          <w:szCs w:val="20"/>
          <w:rtl w:val="true"/>
        </w:rPr>
        <w:t>ורדה</w:t>
      </w:r>
      <w:r>
        <w:rPr>
          <w:rFonts w:cs="Guttman Yad"/>
          <w:szCs w:val="20"/>
          <w:rtl w:val="true"/>
        </w:rPr>
        <w:t>.</w:t>
      </w:r>
      <w:r>
        <w:rPr>
          <w:rFonts w:cs="Guttman Yad"/>
          <w:szCs w:val="20"/>
          <w:rtl w:val="true"/>
        </w:rPr>
        <w:t>ש</w:t>
      </w:r>
    </w:p>
    <w:p>
      <w:pPr>
        <w:pStyle w:val="Normal"/>
        <w:ind w:end="0"/>
        <w:jc w:val="both"/>
        <w:rPr/>
      </w:pPr>
      <w:bookmarkStart w:id="22" w:name="Decision2"/>
      <w:bookmarkEnd w:id="22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/Users/liorb/Downloads/study2025-p2/s04001019-241.doc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1019/04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פמ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חאלד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מחאג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case/380573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5991408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5991408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2017-06-11T15:12:00Z</dcterms:created>
  <dc:creator> </dc:creator>
  <dc:description/>
  <cp:keywords/>
  <dc:language>en-IL</dc:language>
  <cp:lastModifiedBy>run</cp:lastModifiedBy>
  <cp:lastPrinted>2004-11-30T12:32:00Z</cp:lastPrinted>
  <dcterms:modified xsi:type="dcterms:W3CDTF">2017-06-11T15:12:00Z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פמ#ח</vt:lpwstr>
  </property>
  <property fmtid="{D5CDD505-2E9C-101B-9397-08002B2CF9AE}" pid="3" name="APPELLEE">
    <vt:lpwstr>זיאד בן חאלד יוסף מחאג'נה</vt:lpwstr>
  </property>
  <property fmtid="{D5CDD505-2E9C-101B-9397-08002B2CF9AE}" pid="4" name="CASESLISTTMP1">
    <vt:lpwstr>380573;5762686;5991408:2;5852404</vt:lpwstr>
  </property>
  <property fmtid="{D5CDD505-2E9C-101B-9397-08002B2CF9AE}" pid="5" name="CITY">
    <vt:lpwstr>חד'</vt:lpwstr>
  </property>
  <property fmtid="{D5CDD505-2E9C-101B-9397-08002B2CF9AE}" pid="6" name="DATE">
    <vt:lpwstr>20041130</vt:lpwstr>
  </property>
  <property fmtid="{D5CDD505-2E9C-101B-9397-08002B2CF9AE}" pid="7" name="ISABSTRACT">
    <vt:lpwstr>Y</vt:lpwstr>
  </property>
  <property fmtid="{D5CDD505-2E9C-101B-9397-08002B2CF9AE}" pid="8" name="JUDGE">
    <vt:lpwstr>משה גינות</vt:lpwstr>
  </property>
  <property fmtid="{D5CDD505-2E9C-101B-9397-08002B2CF9AE}" pid="9" name="LAWLISTTMP1">
    <vt:lpwstr>70301/144.a:2;340a</vt:lpwstr>
  </property>
  <property fmtid="{D5CDD505-2E9C-101B-9397-08002B2CF9AE}" pid="10" name="LAWYER">
    <vt:lpwstr>דורית לוי-פרנק;מחאג'נה אחמד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1019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