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vanish/>
                <w:highlight w:val="yellow"/>
                <w:rtl w:val="true"/>
              </w:rPr>
              <w:t>&lt;&lt;</w:t>
            </w:r>
            <w:r>
              <w:rPr>
                <w:rFonts w:ascii="Tahoma" w:hAnsi="Tahoma" w:cs="Tahoma"/>
                <w:b/>
                <w:b/>
                <w:bCs/>
                <w:color w:val="000080"/>
                <w:sz w:val="20"/>
                <w:sz w:val="20"/>
                <w:szCs w:val="20"/>
                <w:rtl w:val="true"/>
              </w:rPr>
              <w:t>בית משפט השלום בחדרה</w:t>
            </w:r>
            <w:r>
              <w:rPr>
                <w:vanish/>
                <w:highlight w:val="yellow"/>
                <w:rtl w:val="true"/>
              </w:rPr>
              <w:t>&gt;</w:t>
            </w:r>
          </w:p>
        </w:tc>
      </w:tr>
      <w:tr>
        <w:trPr>
          <w:trHeight w:val="337" w:hRule="atLeast"/>
        </w:trPr>
        <w:tc>
          <w:tcPr>
            <w:tcW w:w="3973"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1158-08</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 xml:space="preserve">תביעות חדרה </w:t>
            </w:r>
            <w:r>
              <w:rPr>
                <w:b/>
                <w:bCs/>
                <w:sz w:val="26"/>
                <w:szCs w:val="26"/>
                <w:rtl w:val="true"/>
              </w:rPr>
              <w:t>-</w:t>
            </w:r>
            <w:r>
              <w:rPr>
                <w:b/>
                <w:b/>
                <w:bCs/>
                <w:sz w:val="26"/>
                <w:sz w:val="26"/>
                <w:szCs w:val="26"/>
                <w:rtl w:val="true"/>
              </w:rPr>
              <w:t>משטרת ישראל נ</w:t>
            </w:r>
            <w:r>
              <w:rPr>
                <w:b/>
                <w:bCs/>
                <w:sz w:val="26"/>
                <w:szCs w:val="26"/>
                <w:rtl w:val="true"/>
              </w:rPr>
              <w:t xml:space="preserve">' </w:t>
            </w:r>
            <w:r>
              <w:rPr>
                <w:b/>
                <w:b/>
                <w:bCs/>
                <w:sz w:val="26"/>
                <w:sz w:val="26"/>
                <w:szCs w:val="26"/>
                <w:rtl w:val="true"/>
              </w:rPr>
              <w:t>אגבאריה ואח</w:t>
            </w:r>
            <w:r>
              <w:rPr>
                <w:b/>
                <w:bCs/>
                <w:sz w:val="26"/>
                <w:szCs w:val="26"/>
                <w:rtl w:val="true"/>
              </w:rPr>
              <w:t xml:space="preserve">' </w:t>
            </w:r>
            <w:r>
              <w:rPr>
                <w:vanish/>
                <w:highlight w:val="yellow"/>
                <w:rtl w:val="true"/>
              </w:rPr>
              <w:t>&gt;&gt;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vanish/>
                <w:highlight w:val="yellow"/>
                <w:rtl w:val="true"/>
              </w:rPr>
              <w:t>&lt;</w:t>
            </w:r>
            <w:r>
              <w:rPr>
                <w:b/>
                <w:bCs/>
                <w:sz w:val="26"/>
                <w:szCs w:val="26"/>
              </w:rPr>
              <w:t>14</w:t>
            </w:r>
            <w:r>
              <w:rPr>
                <w:b/>
                <w:bCs/>
                <w:sz w:val="26"/>
                <w:szCs w:val="26"/>
                <w:rtl w:val="true"/>
              </w:rPr>
              <w:t xml:space="preserve"> </w:t>
            </w:r>
            <w:r>
              <w:rPr>
                <w:b/>
                <w:b/>
                <w:bCs/>
                <w:sz w:val="26"/>
                <w:sz w:val="26"/>
                <w:szCs w:val="26"/>
                <w:rtl w:val="true"/>
              </w:rPr>
              <w:t xml:space="preserve">יולי </w:t>
            </w:r>
            <w:r>
              <w:rPr>
                <w:b/>
                <w:bCs/>
                <w:sz w:val="26"/>
                <w:szCs w:val="26"/>
              </w:rPr>
              <w:t>2009</w:t>
            </w:r>
            <w:r>
              <w:rPr>
                <w:vanish/>
                <w:highlight w:val="yellow"/>
                <w:rtl w:val="true"/>
              </w:rPr>
              <w:t>&gt;</w:t>
            </w:r>
          </w:p>
        </w:tc>
      </w:tr>
    </w:tbl>
    <w:p>
      <w:pPr>
        <w:pStyle w:val="Normal"/>
        <w:spacing w:lineRule="auto" w:line="360"/>
        <w:ind w:end="0"/>
        <w:jc w:val="both"/>
        <w:rPr>
          <w:rFonts w:ascii="Arial" w:hAnsi="Arial" w:cs="Arial"/>
        </w:rPr>
      </w:pPr>
      <w:r>
        <w:rPr>
          <w:rFonts w:cs="Arial" w:ascii="Arial" w:hAnsi="Arial"/>
          <w:rtl w:val="true"/>
        </w:rPr>
      </w:r>
    </w:p>
    <w:tbl>
      <w:tblPr>
        <w:bidiVisual w:val="true"/>
        <w:tblW w:w="8720" w:type="dxa"/>
        <w:jc w:val="center"/>
        <w:tblInd w:w="0" w:type="dxa"/>
        <w:tblLayout w:type="fixed"/>
        <w:tblCellMar>
          <w:top w:w="0" w:type="dxa"/>
          <w:start w:w="108" w:type="dxa"/>
          <w:bottom w:w="0" w:type="dxa"/>
          <w:end w:w="108" w:type="dxa"/>
        </w:tblCellMar>
      </w:tblPr>
      <w:tblGrid>
        <w:gridCol w:w="5856"/>
        <w:gridCol w:w="239"/>
        <w:gridCol w:w="2625"/>
      </w:tblGrid>
      <w:tr>
        <w:trPr>
          <w:trHeight w:val="337" w:hRule="atLeast"/>
        </w:trPr>
        <w:tc>
          <w:tcPr>
            <w:tcW w:w="5856" w:type="dxa"/>
            <w:tcBorders/>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vanish/>
                <w:highlight w:val="yellow"/>
                <w:rtl w:val="true"/>
              </w:rPr>
              <w:t>&lt;</w:t>
            </w:r>
            <w:r>
              <w:rPr>
                <w:b/>
                <w:b/>
                <w:bCs/>
                <w:sz w:val="26"/>
                <w:sz w:val="26"/>
                <w:szCs w:val="26"/>
                <w:rtl w:val="true"/>
              </w:rPr>
              <w:t>סגן נשיא סברי מוחסן</w:t>
            </w:r>
            <w:r>
              <w:rPr>
                <w:vanish/>
                <w:highlight w:val="yellow"/>
                <w:rtl w:val="true"/>
              </w:rPr>
              <w:t>&gt;</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snapToGrid w:val="false"/>
              <w:ind w:end="0"/>
              <w:jc w:val="both"/>
              <w:rPr>
                <w:b/>
                <w:bCs/>
                <w:sz w:val="26"/>
                <w:szCs w:val="26"/>
              </w:rPr>
            </w:pPr>
            <w:r>
              <w:rPr>
                <w:b/>
                <w:bCs/>
                <w:sz w:val="26"/>
                <w:szCs w:val="26"/>
                <w:rtl w:val="true"/>
              </w:rPr>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rFonts w:ascii="Times New Roman" w:hAnsi="Times New Roman" w:eastAsia="Times New Roman" w:cs="Times New Roman"/>
                <w:b/>
                <w:bCs/>
                <w:sz w:val="26"/>
                <w:szCs w:val="26"/>
              </w:rPr>
            </w:pPr>
            <w:bookmarkStart w:id="1" w:name="FirstAppellant"/>
            <w:bookmarkEnd w:id="1"/>
            <w:r>
              <w:rPr>
                <w:rFonts w:ascii="Times New Roman" w:hAnsi="Times New Roman" w:eastAsia="Times New Roman" w:cs="Times New Roman"/>
                <w:b/>
                <w:b/>
                <w:bCs/>
                <w:sz w:val="26"/>
                <w:sz w:val="26"/>
                <w:szCs w:val="26"/>
                <w:rtl w:val="true"/>
              </w:rPr>
              <w:t>ה</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sz w:val="26"/>
                <w:sz w:val="26"/>
                <w:szCs w:val="26"/>
                <w:rtl w:val="true"/>
              </w:rPr>
              <w:t>מאשימה</w:t>
            </w:r>
            <w:r>
              <w:rPr>
                <w:rFonts w:eastAsia="Times New Roman" w:cs="Times New Roman" w:ascii="Times New Roman" w:hAnsi="Times New Roman"/>
                <w:vanish/>
                <w:highlight w:val="yellow"/>
                <w:rtl w:val="true"/>
              </w:rPr>
              <w:t>&gt;</w:t>
            </w:r>
          </w:p>
        </w:tc>
        <w:tc>
          <w:tcPr>
            <w:tcW w:w="5562" w:type="dxa"/>
            <w:tcBorders/>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vanish/>
                <w:highlight w:val="yellow"/>
                <w:rtl w:val="true"/>
              </w:rPr>
              <w:t>&lt;&lt;&gt;&lt;</w:t>
            </w:r>
            <w:r>
              <w:rPr>
                <w:rFonts w:ascii="Times New Roman" w:hAnsi="Times New Roman" w:eastAsia="Times New Roman" w:cs="Times New Roman"/>
                <w:b/>
                <w:b/>
                <w:bCs/>
                <w:sz w:val="26"/>
                <w:sz w:val="26"/>
                <w:szCs w:val="26"/>
                <w:rtl w:val="true"/>
              </w:rPr>
              <w:t>מ</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י</w:t>
            </w: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b/>
                <w:b/>
                <w:bCs/>
                <w:sz w:val="26"/>
                <w:sz w:val="26"/>
                <w:szCs w:val="26"/>
                <w:rtl w:val="true"/>
              </w:rPr>
              <w:t xml:space="preserve">תביעות חדרה </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משטרת ישראל</w:t>
            </w:r>
            <w:r>
              <w:rPr>
                <w:rFonts w:eastAsia="Times New Roman" w:cs="Times New Roman" w:ascii="Times New Roman" w:hAnsi="Times New Roman"/>
                <w:vanish/>
                <w:highlight w:val="yellow"/>
                <w:rtl w:val="true"/>
              </w:rPr>
              <w:t>&gt;&gt;</w:t>
            </w:r>
          </w:p>
        </w:tc>
      </w:tr>
      <w:tr>
        <w:trPr/>
        <w:tc>
          <w:tcPr>
            <w:tcW w:w="8802" w:type="dxa"/>
            <w:gridSpan w:val="2"/>
            <w:tcBorders/>
          </w:tcPr>
          <w:p>
            <w:pPr>
              <w:pStyle w:val="Normal"/>
              <w:snapToGrid w:val="false"/>
              <w:ind w:end="0"/>
              <w:jc w:val="both"/>
              <w:rPr>
                <w:rFonts w:ascii="Arial" w:hAnsi="Arial" w:eastAsia="Times New Roman" w:cs="Arial"/>
                <w:b/>
                <w:bCs/>
                <w:sz w:val="26"/>
                <w:szCs w:val="26"/>
              </w:rPr>
            </w:pPr>
            <w:r>
              <w:rPr>
                <w:rFonts w:eastAsia="Times New Roman" w:cs="Arial" w:ascii="Arial" w:hAnsi="Arial"/>
                <w:b/>
                <w:bCs/>
                <w:sz w:val="26"/>
                <w:szCs w:val="26"/>
                <w:rtl w:val="true"/>
              </w:rPr>
            </w:r>
          </w:p>
          <w:p>
            <w:pPr>
              <w:pStyle w:val="Normal"/>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ind w:end="0"/>
              <w:jc w:val="center"/>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3240" w:type="dxa"/>
            <w:tcBorders/>
          </w:tcPr>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sz w:val="26"/>
                <w:sz w:val="26"/>
                <w:szCs w:val="26"/>
                <w:rtl w:val="true"/>
              </w:rPr>
              <w:t>נאשמים</w:t>
            </w:r>
            <w:r>
              <w:rPr>
                <w:rFonts w:eastAsia="Times New Roman" w:cs="Times New Roman" w:ascii="Times New Roman" w:hAnsi="Times New Roman"/>
                <w:vanish/>
                <w:highlight w:val="yellow"/>
                <w:rtl w:val="true"/>
              </w:rPr>
              <w:t>&gt;</w:t>
            </w:r>
          </w:p>
        </w:tc>
        <w:tc>
          <w:tcPr>
            <w:tcW w:w="5562" w:type="dxa"/>
            <w:tcBorders/>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vanish/>
                <w:highlight w:val="yellow"/>
                <w:rtl w:val="true"/>
              </w:rPr>
              <w:t>&lt;&lt;</w:t>
            </w:r>
            <w:r>
              <w:rPr>
                <w:rFonts w:eastAsia="Times New Roman" w:cs="Times New Roman" w:ascii="Times New Roman" w:hAnsi="Times New Roman"/>
                <w:b/>
                <w:bCs/>
                <w:sz w:val="26"/>
                <w:szCs w:val="26"/>
              </w:rPr>
              <w:t>1</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sz w:val="26"/>
                <w:szCs w:val="26"/>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sz w:val="26"/>
                <w:sz w:val="26"/>
                <w:szCs w:val="26"/>
                <w:rtl w:val="true"/>
              </w:rPr>
              <w:t>רדא אגבאריה</w:t>
            </w:r>
            <w:r>
              <w:rPr>
                <w:rFonts w:eastAsia="Times New Roman" w:cs="Times New Roman" w:ascii="Times New Roman" w:hAnsi="Times New Roman"/>
                <w:vanish/>
                <w:highlight w:val="yellow"/>
                <w:rtl w:val="true"/>
              </w:rPr>
              <w:t>&gt;&gt;</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vanish/>
                <w:highlight w:val="yellow"/>
                <w:rtl w:val="true"/>
              </w:rPr>
              <w:t>&lt;&lt;</w:t>
            </w:r>
            <w:r>
              <w:rPr>
                <w:rFonts w:eastAsia="Times New Roman" w:cs="Times New Roman" w:ascii="Times New Roman" w:hAnsi="Times New Roman"/>
                <w:b/>
                <w:bCs/>
                <w:sz w:val="26"/>
                <w:szCs w:val="26"/>
              </w:rPr>
              <w:t>2</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sz w:val="26"/>
                <w:szCs w:val="26"/>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sz w:val="26"/>
                <w:sz w:val="26"/>
                <w:szCs w:val="26"/>
                <w:rtl w:val="true"/>
              </w:rPr>
              <w:t>מוחמד גבארין</w:t>
            </w:r>
            <w:r>
              <w:rPr>
                <w:rFonts w:eastAsia="Times New Roman" w:cs="Times New Roman" w:ascii="Times New Roman" w:hAnsi="Times New Roman"/>
                <w:vanish/>
                <w:highlight w:val="yellow"/>
                <w:rtl w:val="true"/>
              </w:rPr>
              <w:t>&gt;&gt;</w:t>
            </w:r>
          </w:p>
        </w:tc>
      </w:tr>
    </w:tbl>
    <w:p>
      <w:pPr>
        <w:pStyle w:val="Normal"/>
        <w:spacing w:lineRule="auto" w:line="360"/>
        <w:ind w:end="0"/>
        <w:jc w:val="both"/>
        <w:rPr>
          <w:sz w:val="6"/>
          <w:szCs w:val="6"/>
        </w:rPr>
      </w:pPr>
      <w:r>
        <w:rPr>
          <w:sz w:val="6"/>
          <w:szCs w:val="6"/>
        </w:rPr>
        <w:t>#2#</w:t>
      </w:r>
      <w:r>
        <w:rPr>
          <w:sz w:val="6"/>
          <w:szCs w:val="6"/>
          <w:rtl w:val="true"/>
        </w:rPr>
        <w:t>&gt;</w:t>
      </w:r>
      <w:r>
        <w:rPr>
          <w:vanish/>
          <w:highlight w:val="yellow"/>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bookmarkStart w:id="2" w:name="FirstLawyer"/>
      <w:r>
        <w:rPr>
          <w:u w:val="none"/>
          <w:rtl w:val="true"/>
        </w:rPr>
        <w:t>ב</w:t>
      </w:r>
      <w:r>
        <w:rPr>
          <w:u w:val="none"/>
          <w:rtl w:val="true"/>
        </w:rPr>
        <w:t>"</w:t>
      </w:r>
      <w:r>
        <w:rPr>
          <w:u w:val="none"/>
          <w:rtl w:val="true"/>
        </w:rPr>
        <w:t>כ</w:t>
      </w:r>
      <w:bookmarkEnd w:id="2"/>
      <w:r>
        <w:rPr>
          <w:u w:val="none"/>
          <w:rtl w:val="true"/>
        </w:rPr>
        <w:t xml:space="preserve"> המאשימה</w:t>
      </w:r>
      <w:r>
        <w:rPr>
          <w:u w:val="none"/>
          <w:rtl w:val="true"/>
        </w:rPr>
        <w:t xml:space="preserve">: </w:t>
      </w:r>
      <w:r>
        <w:rPr>
          <w:u w:val="none"/>
          <w:rtl w:val="true"/>
        </w:rPr>
        <w:t>עו</w:t>
      </w:r>
      <w:r>
        <w:rPr>
          <w:u w:val="none"/>
          <w:rtl w:val="true"/>
        </w:rPr>
        <w:t>"</w:t>
      </w:r>
      <w:r>
        <w:rPr>
          <w:u w:val="none"/>
          <w:rtl w:val="true"/>
        </w:rPr>
        <w:t>ד גלית טגרט</w:t>
      </w:r>
    </w:p>
    <w:p>
      <w:pPr>
        <w:pStyle w:val="12"/>
        <w:ind w:end="0"/>
        <w:jc w:val="start"/>
        <w:rPr>
          <w:u w:val="none"/>
        </w:rPr>
      </w:pPr>
      <w:r>
        <w:rPr>
          <w:u w:val="none"/>
          <w:rtl w:val="true"/>
        </w:rPr>
        <w:t>ב</w:t>
      </w:r>
      <w:r>
        <w:rPr>
          <w:u w:val="none"/>
          <w:rtl w:val="true"/>
        </w:rPr>
        <w:t>"</w:t>
      </w:r>
      <w:r>
        <w:rPr>
          <w:u w:val="none"/>
          <w:rtl w:val="true"/>
        </w:rPr>
        <w:t xml:space="preserve">כ הנאשם </w:t>
      </w:r>
      <w:r>
        <w:rPr>
          <w:u w:val="none"/>
        </w:rPr>
        <w:t>2</w:t>
      </w:r>
      <w:r>
        <w:rPr>
          <w:u w:val="none"/>
          <w:rtl w:val="true"/>
        </w:rPr>
        <w:t xml:space="preserve">: </w:t>
      </w:r>
      <w:r>
        <w:rPr>
          <w:u w:val="none"/>
          <w:rtl w:val="true"/>
        </w:rPr>
        <w:t>עו</w:t>
      </w:r>
      <w:r>
        <w:rPr>
          <w:u w:val="none"/>
          <w:rtl w:val="true"/>
        </w:rPr>
        <w:t>"</w:t>
      </w:r>
      <w:r>
        <w:rPr>
          <w:u w:val="none"/>
          <w:rtl w:val="true"/>
        </w:rPr>
        <w:t>ד מחאג</w:t>
      </w:r>
      <w:r>
        <w:rPr>
          <w:u w:val="none"/>
          <w:rtl w:val="true"/>
        </w:rPr>
        <w:t>'</w:t>
      </w:r>
      <w:r>
        <w:rPr>
          <w:u w:val="none"/>
          <w:rtl w:val="true"/>
        </w:rPr>
        <w:t>נה</w:t>
      </w:r>
    </w:p>
    <w:p>
      <w:pPr>
        <w:pStyle w:val="12"/>
        <w:ind w:end="0"/>
        <w:jc w:val="start"/>
        <w:rPr>
          <w:b w:val="false"/>
          <w:bCs w:val="false"/>
          <w:u w:val="none"/>
        </w:rPr>
      </w:pPr>
      <w:r>
        <w:rPr>
          <w:u w:val="none"/>
          <w:rtl w:val="true"/>
        </w:rPr>
        <w:t>הנאשם</w:t>
      </w:r>
      <w:r>
        <w:rPr>
          <w:u w:val="none"/>
          <w:rtl w:val="true"/>
        </w:rPr>
        <w:t xml:space="preserve">: </w:t>
      </w:r>
      <w:r>
        <w:rPr>
          <w:u w:val="none"/>
          <w:rtl w:val="true"/>
        </w:rPr>
        <w:t>בעצמו</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hyperlink r:id="rId4">
        <w:r>
          <w:rPr>
            <w:rStyle w:val="Hyperlink"/>
            <w:rFonts w:ascii="FrankRuehl" w:hAnsi="FrankRuehl" w:cs="FrankRuehl"/>
            <w:b w:val="false"/>
            <w:b w:val="false"/>
            <w:bCs w:val="false"/>
            <w:color w:val="0000FF"/>
            <w:rtl w:val="true"/>
          </w:rPr>
          <w:t>חוק הכניסה לישראל</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תשי</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ב</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1952</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ind w:end="0"/>
        <w:jc w:val="start"/>
        <w:rPr>
          <w:b w:val="false"/>
          <w:bCs w:val="false"/>
          <w:u w:val="none"/>
        </w:rPr>
      </w:pPr>
      <w:r>
        <w:rPr>
          <w:b w:val="false"/>
          <w:bCs w:val="false"/>
          <w:u w:val="none"/>
          <w:rtl w:val="true"/>
        </w:rPr>
      </w:r>
    </w:p>
    <w:p>
      <w:pPr>
        <w:pStyle w:val="12"/>
        <w:ind w:end="0"/>
        <w:jc w:val="start"/>
        <w:rPr>
          <w:u w:val="none"/>
        </w:rPr>
      </w:pPr>
      <w:r>
        <w:rPr>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bookmarkStart w:id="6" w:name="PsakDin"/>
      <w:bookmarkStart w:id="7" w:name="PsakDin"/>
      <w:bookmarkEnd w:id="7"/>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גזר דין</w:t>
      </w:r>
    </w:p>
    <w:p>
      <w:pPr>
        <w:pStyle w:val="Normal"/>
        <w:spacing w:lineRule="auto" w:line="360"/>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 xml:space="preserve">לגבי נאשם </w:t>
      </w:r>
      <w:r>
        <w:rPr>
          <w:rFonts w:cs="Arial" w:ascii="Arial" w:hAnsi="Arial"/>
          <w:b/>
          <w:bCs/>
          <w:sz w:val="28"/>
          <w:szCs w:val="28"/>
          <w:u w:val="single"/>
        </w:rPr>
        <w:t>2</w:t>
      </w:r>
    </w:p>
    <w:p>
      <w:pPr>
        <w:pStyle w:val="David"/>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9" w:name="ABSTRACT_START"/>
      <w:bookmarkEnd w:id="9"/>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הנאשם</w:t>
      </w:r>
      <w:r>
        <w:rPr>
          <w:rFonts w:cs="Arial" w:ascii="Arial" w:hAnsi="Arial"/>
          <w:b/>
          <w:bCs/>
          <w:rtl w:val="true"/>
        </w:rPr>
        <w:t>"</w:t>
      </w:r>
      <w:r>
        <w:rPr>
          <w:rFonts w:cs="Arial" w:ascii="Arial" w:hAnsi="Arial"/>
          <w:rtl w:val="true"/>
        </w:rPr>
        <w:t xml:space="preserve">) </w:t>
      </w:r>
      <w:r>
        <w:rPr>
          <w:rFonts w:ascii="Arial" w:hAnsi="Arial" w:cs="Arial"/>
          <w:rtl w:val="true"/>
        </w:rPr>
        <w:t xml:space="preserve">הודה במסגרת הסדר טיעון בישיבת יום </w:t>
      </w:r>
      <w:r>
        <w:rPr>
          <w:rFonts w:cs="Arial" w:ascii="Arial" w:hAnsi="Arial"/>
        </w:rPr>
        <w:t>20.4.09</w:t>
      </w:r>
      <w:r>
        <w:rPr>
          <w:rFonts w:cs="Arial" w:ascii="Arial" w:hAnsi="Arial"/>
          <w:rtl w:val="true"/>
        </w:rPr>
        <w:t xml:space="preserve"> </w:t>
      </w:r>
      <w:r>
        <w:rPr>
          <w:rFonts w:ascii="Arial" w:hAnsi="Arial" w:cs="Arial"/>
          <w:rtl w:val="true"/>
        </w:rPr>
        <w:t>בעבירה המיוחסת לו בכתב האישום והיא עבירה של החזקת נשק שלא כדין</w:t>
      </w:r>
      <w:r>
        <w:rPr>
          <w:rFonts w:cs="Arial" w:ascii="Arial" w:hAnsi="Arial"/>
          <w:rtl w:val="true"/>
        </w:rPr>
        <w:t xml:space="preserve">, </w:t>
      </w:r>
      <w:r>
        <w:rPr>
          <w:rFonts w:ascii="Arial" w:hAnsi="Arial" w:cs="Arial"/>
          <w:rtl w:val="true"/>
        </w:rPr>
        <w:t xml:space="preserve">עבירה לפי </w:t>
      </w:r>
      <w:hyperlink r:id="rId5">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6">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bookmarkStart w:id="10" w:name="ABSTRACT_END"/>
      <w:bookmarkEnd w:id="10"/>
      <w:r>
        <w:rPr>
          <w:rFonts w:cs="Arial" w:ascii="Arial" w:hAnsi="Arial"/>
        </w:rPr>
        <w:t>2</w:t>
      </w:r>
      <w:r>
        <w:rPr>
          <w:rFonts w:cs="Arial" w:ascii="Arial" w:hAnsi="Arial"/>
          <w:rtl w:val="true"/>
        </w:rPr>
        <w:t xml:space="preserve">. </w:t>
        <w:tab/>
      </w:r>
      <w:r>
        <w:rPr>
          <w:rFonts w:ascii="Arial" w:hAnsi="Arial" w:cs="Arial"/>
          <w:rtl w:val="true"/>
        </w:rPr>
        <w:t xml:space="preserve">כפי שעולה מכתב האישום הנאשם קיבל מהנאשם </w:t>
      </w:r>
      <w:r>
        <w:rPr>
          <w:rFonts w:cs="Arial" w:ascii="Arial" w:hAnsi="Arial"/>
        </w:rPr>
        <w:t>1</w:t>
      </w:r>
      <w:r>
        <w:rPr>
          <w:rFonts w:cs="Arial" w:ascii="Arial" w:hAnsi="Arial"/>
          <w:rtl w:val="true"/>
        </w:rPr>
        <w:t xml:space="preserve"> </w:t>
      </w:r>
      <w:r>
        <w:rPr>
          <w:rFonts w:ascii="Arial" w:hAnsi="Arial" w:cs="Arial"/>
          <w:rtl w:val="true"/>
        </w:rPr>
        <w:t xml:space="preserve">רובה אוויר וכן </w:t>
      </w:r>
      <w:r>
        <w:rPr>
          <w:rFonts w:cs="Arial" w:ascii="Arial" w:hAnsi="Arial"/>
        </w:rPr>
        <w:t>67</w:t>
      </w:r>
      <w:r>
        <w:rPr>
          <w:rFonts w:cs="Arial" w:ascii="Arial" w:hAnsi="Arial"/>
          <w:rtl w:val="true"/>
        </w:rPr>
        <w:t xml:space="preserve"> </w:t>
      </w:r>
      <w:r>
        <w:rPr>
          <w:rFonts w:ascii="Arial" w:hAnsi="Arial" w:cs="Arial"/>
          <w:rtl w:val="true"/>
        </w:rPr>
        <w:t>כדורי ציד והחזיקם בביתו ללא היתר כדין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לנאשם הרשעות קודמות בעבירות שונות וזאת כפי שעולה מגיליון הרשעותיו הקודמות שהוגש וסומן ת</w:t>
      </w:r>
      <w:r>
        <w:rPr>
          <w:rFonts w:cs="Arial" w:ascii="Arial" w:hAnsi="Arial"/>
          <w:rtl w:val="true"/>
        </w:rPr>
        <w:t>/</w:t>
      </w:r>
      <w:r>
        <w:rPr>
          <w:rFonts w:cs="Arial" w:ascii="Arial" w:hAnsi="Arial"/>
        </w:rPr>
        <w:t>2</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אין חולקין כי העבירה המיוחסת לנאשם הינה עבירה חמורה שעלולה בתנאים מסוימים לגרום נזק ואף לפגיעה בחיי אדם</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 xml:space="preserve">בהתחשב בחומרת העבירה עתרה המאשימה לאמץ את הסדר הטיעון מיום </w:t>
      </w:r>
      <w:r>
        <w:rPr>
          <w:rFonts w:cs="Arial" w:ascii="Arial" w:hAnsi="Arial"/>
        </w:rPr>
        <w:t>20.4.09</w:t>
      </w:r>
      <w:r>
        <w:rPr>
          <w:rFonts w:cs="Arial" w:ascii="Arial" w:hAnsi="Arial"/>
          <w:rtl w:val="true"/>
        </w:rPr>
        <w:t xml:space="preserve"> </w:t>
      </w:r>
      <w:r>
        <w:rPr>
          <w:rFonts w:ascii="Arial" w:hAnsi="Arial" w:cs="Arial"/>
          <w:rtl w:val="true"/>
        </w:rPr>
        <w:t>ולהשית על הנאשם שישה חודשי מאסר בפועל שירוצו בעבודות שירות</w:t>
      </w:r>
      <w:r>
        <w:rPr>
          <w:rFonts w:cs="Arial" w:ascii="Arial" w:hAnsi="Arial"/>
          <w:rtl w:val="true"/>
        </w:rPr>
        <w:t xml:space="preserve">, </w:t>
      </w:r>
      <w:r>
        <w:rPr>
          <w:rFonts w:ascii="Arial" w:hAnsi="Arial" w:cs="Arial"/>
          <w:rtl w:val="true"/>
        </w:rPr>
        <w:t>מאסר על תנאי</w:t>
      </w:r>
      <w:r>
        <w:rPr>
          <w:rFonts w:cs="Arial" w:ascii="Arial" w:hAnsi="Arial"/>
          <w:rtl w:val="true"/>
        </w:rPr>
        <w:t xml:space="preserve">, </w:t>
      </w:r>
      <w:r>
        <w:rPr>
          <w:rFonts w:ascii="Arial" w:hAnsi="Arial" w:cs="Arial"/>
          <w:rtl w:val="true"/>
        </w:rPr>
        <w:t>קנס</w:t>
      </w:r>
      <w:r>
        <w:rPr>
          <w:rFonts w:cs="Arial" w:ascii="Arial" w:hAnsi="Arial"/>
          <w:rtl w:val="true"/>
        </w:rPr>
        <w:t xml:space="preserve">, </w:t>
      </w:r>
      <w:r>
        <w:rPr>
          <w:rFonts w:ascii="Arial" w:hAnsi="Arial" w:cs="Arial"/>
          <w:rtl w:val="true"/>
        </w:rPr>
        <w:t>התחייבות והשמדת המוצגים</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בעניינו של הנאשם הוכן והוגש תסקיר שממנו עולה כי הנאשם לקח אחריות על מעשיו ומבין את חומרת העבירה והביע חרטה על מעשיו</w:t>
      </w:r>
      <w:r>
        <w:rPr>
          <w:rFonts w:cs="Arial" w:ascii="Arial" w:hAnsi="Arial"/>
          <w:rtl w:val="true"/>
        </w:rPr>
        <w:t xml:space="preserve">. </w:t>
      </w:r>
      <w:r>
        <w:rPr>
          <w:rFonts w:ascii="Arial" w:hAnsi="Arial" w:cs="Arial"/>
          <w:rtl w:val="true"/>
        </w:rPr>
        <w:t>בסופו של דבר שירות המבחן המליץ כי יוטל על הנאשם מאסר על תנאי משמעותי ומרתיע וקנס משמעותי שיחבר אותו לאחריותו האישית למעשיו</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הנאשם בטיעוניו לעונש ביקש להתחשב בנאשם שכן מדובר באדם מבוגר</w:t>
      </w:r>
      <w:r>
        <w:rPr>
          <w:rFonts w:cs="Arial" w:ascii="Arial" w:hAnsi="Arial"/>
          <w:rtl w:val="true"/>
        </w:rPr>
        <w:t xml:space="preserve">, </w:t>
      </w:r>
      <w:r>
        <w:rPr>
          <w:rFonts w:ascii="Arial" w:hAnsi="Arial" w:cs="Arial"/>
          <w:rtl w:val="true"/>
        </w:rPr>
        <w:t>חולני</w:t>
      </w:r>
      <w:r>
        <w:rPr>
          <w:rFonts w:cs="Arial" w:ascii="Arial" w:hAnsi="Arial"/>
          <w:rtl w:val="true"/>
        </w:rPr>
        <w:t xml:space="preserve">, </w:t>
      </w:r>
      <w:r>
        <w:rPr>
          <w:rFonts w:ascii="Arial" w:hAnsi="Arial" w:cs="Arial"/>
          <w:rtl w:val="true"/>
        </w:rPr>
        <w:t xml:space="preserve">בן </w:t>
      </w:r>
      <w:r>
        <w:rPr>
          <w:rFonts w:cs="Arial" w:ascii="Arial" w:hAnsi="Arial"/>
        </w:rPr>
        <w:t>51</w:t>
      </w:r>
      <w:r>
        <w:rPr>
          <w:rFonts w:cs="Arial" w:ascii="Arial" w:hAnsi="Arial"/>
          <w:rtl w:val="true"/>
        </w:rPr>
        <w:t xml:space="preserve"> </w:t>
      </w:r>
      <w:r>
        <w:rPr>
          <w:rFonts w:ascii="Arial" w:hAnsi="Arial" w:cs="Arial"/>
          <w:rtl w:val="true"/>
        </w:rPr>
        <w:t>אב ל</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ילדים</w:t>
      </w:r>
      <w:r>
        <w:rPr>
          <w:rFonts w:cs="Arial" w:ascii="Arial" w:hAnsi="Arial"/>
          <w:rtl w:val="true"/>
        </w:rPr>
        <w:t xml:space="preserve">, </w:t>
      </w:r>
      <w:r>
        <w:rPr>
          <w:rFonts w:ascii="Arial" w:hAnsi="Arial" w:cs="Arial"/>
          <w:rtl w:val="true"/>
        </w:rPr>
        <w:t>אדם נורמטיבי באופיו שלקח אחריות מלאה על מעשיו</w:t>
      </w:r>
      <w:r>
        <w:rPr>
          <w:rFonts w:cs="Arial" w:ascii="Arial" w:hAnsi="Arial"/>
          <w:rtl w:val="true"/>
        </w:rPr>
        <w:t xml:space="preserve">. </w:t>
      </w:r>
      <w:r>
        <w:rPr>
          <w:rFonts w:ascii="Arial" w:hAnsi="Arial" w:cs="Arial"/>
          <w:rtl w:val="true"/>
        </w:rPr>
        <w:t>יתרה מכך</w:t>
      </w:r>
      <w:r>
        <w:rPr>
          <w:rFonts w:cs="Arial" w:ascii="Arial" w:hAnsi="Arial"/>
          <w:rtl w:val="true"/>
        </w:rPr>
        <w:t xml:space="preserve">, </w:t>
      </w:r>
      <w:r>
        <w:rPr>
          <w:rFonts w:ascii="Arial" w:hAnsi="Arial" w:cs="Arial"/>
          <w:rtl w:val="true"/>
        </w:rPr>
        <w:t xml:space="preserve">עת הגיעו החוקרים לביתו ביקש מבנו למסור להם את הרובה שנמצא בקומה העליונה  ואף הודה בחקירתו במשטרה כי לקח את רובה אויר בכדי להרחיק את היונות </w:t>
      </w:r>
      <w:r>
        <w:rPr>
          <w:rFonts w:cs="Arial" w:ascii="Arial" w:hAnsi="Arial"/>
          <w:rtl w:val="true"/>
        </w:rPr>
        <w:t>(</w:t>
      </w:r>
      <w:r>
        <w:rPr>
          <w:rFonts w:ascii="Arial" w:hAnsi="Arial" w:cs="Arial"/>
          <w:rtl w:val="true"/>
        </w:rPr>
        <w:t>נ</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ממשיך וטוען כי אילולא עו</w:t>
      </w:r>
      <w:r>
        <w:rPr>
          <w:rFonts w:cs="Arial" w:ascii="Arial" w:hAnsi="Arial"/>
          <w:rtl w:val="true"/>
        </w:rPr>
        <w:t>"</w:t>
      </w:r>
      <w:r>
        <w:rPr>
          <w:rFonts w:ascii="Arial" w:hAnsi="Arial" w:cs="Arial"/>
          <w:rtl w:val="true"/>
        </w:rPr>
        <w:t>ד מחאג</w:t>
      </w:r>
      <w:r>
        <w:rPr>
          <w:rFonts w:cs="Arial" w:ascii="Arial" w:hAnsi="Arial"/>
          <w:rtl w:val="true"/>
        </w:rPr>
        <w:t>'</w:t>
      </w:r>
      <w:r>
        <w:rPr>
          <w:rFonts w:ascii="Arial" w:hAnsi="Arial" w:cs="Arial"/>
          <w:rtl w:val="true"/>
        </w:rPr>
        <w:t xml:space="preserve">נה </w:t>
      </w:r>
      <w:r>
        <w:rPr>
          <w:rFonts w:cs="Arial" w:ascii="Arial" w:hAnsi="Arial"/>
          <w:rtl w:val="true"/>
        </w:rPr>
        <w:t>(</w:t>
      </w:r>
      <w:r>
        <w:rPr>
          <w:rFonts w:ascii="Arial" w:hAnsi="Arial" w:cs="Arial"/>
          <w:rtl w:val="true"/>
        </w:rPr>
        <w:t>בא כוחו הקודם של הנאשם</w:t>
      </w:r>
      <w:r>
        <w:rPr>
          <w:rFonts w:cs="Arial" w:ascii="Arial" w:hAnsi="Arial"/>
          <w:rtl w:val="true"/>
        </w:rPr>
        <w:t xml:space="preserve">) </w:t>
      </w:r>
      <w:r>
        <w:rPr>
          <w:rFonts w:ascii="Arial" w:hAnsi="Arial" w:cs="Arial"/>
          <w:rtl w:val="true"/>
        </w:rPr>
        <w:t>הגיע להסדר טיעון עם התביעות היה עותר הוא לאמץ את המלצות שירות המבחן ולהשית על הנאשם מאסר על תנאי וקנס</w:t>
      </w:r>
      <w:r>
        <w:rPr>
          <w:rFonts w:cs="Arial" w:ascii="Arial" w:hAnsi="Arial"/>
          <w:rtl w:val="true"/>
        </w:rPr>
        <w:t xml:space="preserve">. </w:t>
      </w:r>
      <w:r>
        <w:rPr>
          <w:rFonts w:ascii="Arial" w:hAnsi="Arial" w:cs="Arial"/>
          <w:rtl w:val="true"/>
        </w:rPr>
        <w:t>אולם לאור העובדה כי עו</w:t>
      </w:r>
      <w:r>
        <w:rPr>
          <w:rFonts w:cs="Arial" w:ascii="Arial" w:hAnsi="Arial"/>
          <w:rtl w:val="true"/>
        </w:rPr>
        <w:t>"</w:t>
      </w:r>
      <w:r>
        <w:rPr>
          <w:rFonts w:ascii="Arial" w:hAnsi="Arial" w:cs="Arial"/>
          <w:rtl w:val="true"/>
        </w:rPr>
        <w:t>ד מחאג</w:t>
      </w:r>
      <w:r>
        <w:rPr>
          <w:rFonts w:cs="Arial" w:ascii="Arial" w:hAnsi="Arial"/>
          <w:rtl w:val="true"/>
        </w:rPr>
        <w:t>'</w:t>
      </w:r>
      <w:r>
        <w:rPr>
          <w:rFonts w:ascii="Arial" w:hAnsi="Arial" w:cs="Arial"/>
          <w:rtl w:val="true"/>
        </w:rPr>
        <w:t>נה הגיע להסדר טיעון בעניינו של הנאשם לפיו יושת על הנאשם מאסר בפועל שירוצה בעבודות שירות</w:t>
      </w:r>
      <w:r>
        <w:rPr>
          <w:rFonts w:cs="Arial" w:ascii="Arial" w:hAnsi="Arial"/>
          <w:rtl w:val="true"/>
        </w:rPr>
        <w:t xml:space="preserve">, </w:t>
      </w:r>
      <w:r>
        <w:rPr>
          <w:rFonts w:ascii="Arial" w:hAnsi="Arial" w:cs="Arial"/>
          <w:rtl w:val="true"/>
        </w:rPr>
        <w:t>אז עותר ב</w:t>
      </w:r>
      <w:r>
        <w:rPr>
          <w:rFonts w:cs="Arial" w:ascii="Arial" w:hAnsi="Arial"/>
          <w:rtl w:val="true"/>
        </w:rPr>
        <w:t>"</w:t>
      </w:r>
      <w:r>
        <w:rPr>
          <w:rFonts w:ascii="Arial" w:hAnsi="Arial" w:cs="Arial"/>
          <w:rtl w:val="true"/>
        </w:rPr>
        <w:t>כ הנאשם כי ביהמ</w:t>
      </w:r>
      <w:r>
        <w:rPr>
          <w:rFonts w:cs="Arial" w:ascii="Arial" w:hAnsi="Arial"/>
          <w:rtl w:val="true"/>
        </w:rPr>
        <w:t>"</w:t>
      </w:r>
      <w:r>
        <w:rPr>
          <w:rFonts w:ascii="Arial" w:hAnsi="Arial" w:cs="Arial"/>
          <w:rtl w:val="true"/>
        </w:rPr>
        <w:t>ש לא יטיל על הנאשם יותר מחודש אחד מאסר בפועל שירוצה בעבודתו שירות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Times New Roman" w:hAnsi="Times New Roman" w:cs="Times New Roman"/>
        </w:rPr>
      </w:pPr>
      <w:r>
        <w:rPr>
          <w:rFonts w:cs="Arial" w:ascii="Arial" w:hAnsi="Arial"/>
        </w:rPr>
        <w:t>6</w:t>
      </w:r>
      <w:r>
        <w:rPr>
          <w:rFonts w:cs="Arial" w:ascii="Arial" w:hAnsi="Arial"/>
          <w:rtl w:val="true"/>
        </w:rPr>
        <w:t>.</w:t>
        <w:tab/>
      </w:r>
      <w:r>
        <w:rPr>
          <w:rtl w:val="true"/>
        </w:rPr>
        <w:t>מלאכת גזירת הדין היא קשה</w:t>
      </w:r>
      <w:r>
        <w:rPr>
          <w:rtl w:val="true"/>
        </w:rPr>
        <w:t xml:space="preserve">, </w:t>
      </w:r>
      <w:r>
        <w:rPr>
          <w:rtl w:val="true"/>
        </w:rPr>
        <w:t>סבוכה ועדינה</w:t>
      </w:r>
      <w:r>
        <w:rPr>
          <w:rtl w:val="true"/>
        </w:rPr>
        <w:t xml:space="preserve">, </w:t>
      </w:r>
      <w:r>
        <w:rPr>
          <w:rtl w:val="true"/>
        </w:rPr>
        <w:t>ומשמשים בה שיקולי ענישה שונים</w:t>
      </w:r>
      <w:r>
        <w:rPr>
          <w:rtl w:val="true"/>
        </w:rPr>
        <w:t xml:space="preserve">, </w:t>
      </w:r>
      <w:r>
        <w:rPr>
          <w:rtl w:val="true"/>
        </w:rPr>
        <w:t>אשר יש ליתן להם ביטוי ולאזן ביניהם</w:t>
      </w:r>
      <w:r>
        <w:rPr>
          <w:rtl w:val="true"/>
        </w:rPr>
        <w:t>.</w:t>
      </w:r>
    </w:p>
    <w:p>
      <w:pPr>
        <w:pStyle w:val="Normal"/>
        <w:spacing w:lineRule="auto" w:line="360"/>
        <w:ind w:firstLine="720" w:end="0"/>
        <w:jc w:val="both"/>
        <w:rPr/>
      </w:pPr>
      <w:r>
        <w:rPr>
          <w:rtl w:val="true"/>
        </w:rPr>
        <w:t>משקלם היחסי אינו קבוע</w:t>
      </w:r>
      <w:r>
        <w:rPr>
          <w:rtl w:val="true"/>
        </w:rPr>
        <w:t xml:space="preserve">, </w:t>
      </w:r>
      <w:r>
        <w:rPr>
          <w:rtl w:val="true"/>
        </w:rPr>
        <w:t>והוא משתנה מענין לענין</w:t>
      </w:r>
      <w:r>
        <w:rPr>
          <w:rtl w:val="true"/>
        </w:rPr>
        <w:t xml:space="preserve">, </w:t>
      </w:r>
      <w:r>
        <w:rPr>
          <w:rtl w:val="true"/>
        </w:rPr>
        <w:t>לפי הנאשם ונסיבותיו</w:t>
      </w:r>
      <w:r>
        <w:rPr>
          <w:rtl w:val="true"/>
        </w:rPr>
        <w:t>.</w:t>
      </w:r>
    </w:p>
    <w:p>
      <w:pPr>
        <w:pStyle w:val="Normal"/>
        <w:spacing w:lineRule="auto" w:line="360"/>
        <w:ind w:start="720" w:end="0"/>
        <w:jc w:val="both"/>
        <w:rPr/>
      </w:pPr>
      <w:r>
        <w:rPr>
          <w:rtl w:val="true"/>
        </w:rPr>
        <w:t>שיקולים אלה פורטו בהרחבה על ידי כב</w:t>
      </w:r>
      <w:r>
        <w:rPr>
          <w:rtl w:val="true"/>
        </w:rPr>
        <w:t xml:space="preserve">' </w:t>
      </w:r>
      <w:r>
        <w:rPr>
          <w:rtl w:val="true"/>
        </w:rPr>
        <w:t>הנשיאה בייניש ב</w:t>
      </w:r>
      <w:hyperlink r:id="rId7">
        <w:r>
          <w:rPr>
            <w:rStyle w:val="Hyperlink"/>
            <w:rtl w:val="true"/>
          </w:rPr>
          <w:t>ע</w:t>
        </w:r>
        <w:r>
          <w:rPr>
            <w:rStyle w:val="Hyperlink"/>
            <w:rtl w:val="true"/>
          </w:rPr>
          <w:t>"</w:t>
        </w:r>
        <w:r>
          <w:rPr>
            <w:rStyle w:val="Hyperlink"/>
            <w:rtl w:val="true"/>
          </w:rPr>
          <w:t xml:space="preserve">פ </w:t>
        </w:r>
        <w:r>
          <w:rPr>
            <w:rStyle w:val="Hyperlink"/>
          </w:rPr>
          <w:t>4890/01</w:t>
        </w:r>
        <w:r>
          <w:rPr>
            <w:rStyle w:val="Hyperlink"/>
            <w:rtl w:val="true"/>
          </w:rPr>
          <w:t xml:space="preserve"> </w:t>
        </w:r>
        <w:r>
          <w:rPr>
            <w:rStyle w:val="Hyperlink"/>
            <w:rtl w:val="true"/>
          </w:rPr>
          <w:t>מד</w:t>
        </w:r>
        <w:r>
          <w:rPr>
            <w:rStyle w:val="Hyperlink"/>
            <w:rtl w:val="true"/>
          </w:rPr>
          <w:t>"</w:t>
        </w:r>
        <w:r>
          <w:rPr>
            <w:rStyle w:val="Hyperlink"/>
            <w:rtl w:val="true"/>
          </w:rPr>
          <w:t>י נ</w:t>
        </w:r>
        <w:r>
          <w:rPr>
            <w:rStyle w:val="Hyperlink"/>
            <w:rtl w:val="true"/>
          </w:rPr>
          <w:t xml:space="preserve">' </w:t>
        </w:r>
        <w:r>
          <w:rPr>
            <w:rStyle w:val="Hyperlink"/>
            <w:rtl w:val="true"/>
          </w:rPr>
          <w:t>פלוני פ</w:t>
        </w:r>
        <w:r>
          <w:rPr>
            <w:rStyle w:val="Hyperlink"/>
            <w:rtl w:val="true"/>
          </w:rPr>
          <w:t>"</w:t>
        </w:r>
        <w:r>
          <w:rPr>
            <w:rStyle w:val="Hyperlink"/>
            <w:rtl w:val="true"/>
          </w:rPr>
          <w:t>ד נו</w:t>
        </w:r>
      </w:hyperlink>
      <w:r>
        <w:rPr>
          <w:rtl w:val="true"/>
        </w:rPr>
        <w:t>' (</w:t>
      </w:r>
      <w:r>
        <w:rPr/>
        <w:t>1</w:t>
      </w:r>
      <w:r>
        <w:rPr>
          <w:rtl w:val="true"/>
        </w:rPr>
        <w:t xml:space="preserve">) </w:t>
      </w:r>
      <w:r>
        <w:rPr/>
        <w:t>594</w:t>
      </w:r>
      <w:r>
        <w:rPr>
          <w:rtl w:val="true"/>
        </w:rPr>
        <w:t xml:space="preserve">, </w:t>
      </w:r>
      <w:r>
        <w:rPr/>
        <w:t>601</w:t>
      </w:r>
      <w:r>
        <w:rPr>
          <w:rtl w:val="true"/>
        </w:rPr>
        <w:t xml:space="preserve"> </w:t>
      </w:r>
      <w:r>
        <w:rPr>
          <w:rtl w:val="true"/>
        </w:rPr>
        <w:t>כאמור להלן</w:t>
      </w:r>
      <w:r>
        <w:rPr>
          <w:rtl w:val="true"/>
        </w:rPr>
        <w:t xml:space="preserve">: </w:t>
      </w:r>
    </w:p>
    <w:p>
      <w:pPr>
        <w:pStyle w:val="Normal"/>
        <w:spacing w:lineRule="auto" w:line="360"/>
        <w:ind w:start="1440" w:end="900"/>
        <w:jc w:val="both"/>
        <w:rPr>
          <w:b/>
          <w:bCs/>
        </w:rPr>
      </w:pPr>
      <w:r>
        <w:rPr>
          <w:b/>
          <w:bCs/>
          <w:rtl w:val="true"/>
        </w:rPr>
        <w:t>"</w:t>
      </w:r>
      <w:r>
        <w:rPr>
          <w:b/>
          <w:b/>
          <w:bCs/>
          <w:rtl w:val="true"/>
        </w:rPr>
        <w:t>יסודו של מודל הענישה בארץ הוא מודל מעורב</w:t>
      </w:r>
      <w:r>
        <w:rPr>
          <w:b/>
          <w:bCs/>
          <w:rtl w:val="true"/>
        </w:rPr>
        <w:t xml:space="preserve">, </w:t>
      </w:r>
      <w:r>
        <w:rPr>
          <w:b/>
          <w:b/>
          <w:bCs/>
          <w:rtl w:val="true"/>
        </w:rPr>
        <w:t>שחוברים בו יחד שיקולי הענישה השונים</w:t>
      </w:r>
      <w:r>
        <w:rPr>
          <w:b/>
          <w:bCs/>
          <w:rtl w:val="true"/>
        </w:rPr>
        <w:t xml:space="preserve">: </w:t>
      </w:r>
      <w:r>
        <w:rPr>
          <w:b/>
          <w:b/>
          <w:bCs/>
          <w:rtl w:val="true"/>
        </w:rPr>
        <w:t>הגמול</w:t>
      </w:r>
      <w:r>
        <w:rPr>
          <w:b/>
          <w:bCs/>
          <w:rtl w:val="true"/>
        </w:rPr>
        <w:t xml:space="preserve">, </w:t>
      </w:r>
      <w:r>
        <w:rPr>
          <w:b/>
          <w:b/>
          <w:bCs/>
          <w:rtl w:val="true"/>
        </w:rPr>
        <w:t>ההרתעה</w:t>
      </w:r>
      <w:r>
        <w:rPr>
          <w:b/>
          <w:bCs/>
          <w:rtl w:val="true"/>
        </w:rPr>
        <w:t xml:space="preserve">, </w:t>
      </w:r>
      <w:r>
        <w:rPr>
          <w:b/>
          <w:b/>
          <w:bCs/>
          <w:rtl w:val="true"/>
        </w:rPr>
        <w:t>השיקום והמניעה</w:t>
      </w:r>
      <w:r>
        <w:rPr>
          <w:b/>
          <w:bCs/>
          <w:rtl w:val="true"/>
        </w:rPr>
        <w:t xml:space="preserve">, </w:t>
      </w:r>
      <w:r>
        <w:rPr>
          <w:b/>
          <w:b/>
          <w:bCs/>
          <w:rtl w:val="true"/>
        </w:rPr>
        <w:t>ובכל מקרה ומקרה מוטלת על השופטים החובה לערוך את האיזון ביניהם</w:t>
      </w:r>
      <w:r>
        <w:rPr>
          <w:b/>
          <w:bCs/>
          <w:rtl w:val="true"/>
        </w:rPr>
        <w:t>".</w:t>
      </w:r>
    </w:p>
    <w:p>
      <w:pPr>
        <w:pStyle w:val="Normal"/>
        <w:spacing w:lineRule="auto" w:line="360"/>
        <w:ind w:end="0"/>
        <w:jc w:val="both"/>
        <w:rPr>
          <w:b/>
          <w:bCs/>
        </w:rPr>
      </w:pPr>
      <w:r>
        <w:rPr>
          <w:b/>
          <w:bCs/>
          <w:rtl w:val="true"/>
        </w:rPr>
        <w:t xml:space="preserve"> </w:t>
      </w:r>
    </w:p>
    <w:p>
      <w:pPr>
        <w:pStyle w:val="Normal"/>
        <w:spacing w:lineRule="auto" w:line="360"/>
        <w:ind w:hanging="720" w:start="720" w:end="0"/>
        <w:jc w:val="both"/>
        <w:rPr>
          <w:sz w:val="20"/>
        </w:rPr>
      </w:pPr>
      <w:r>
        <w:rPr/>
        <w:t>7</w:t>
      </w:r>
      <w:r>
        <w:rPr>
          <w:rtl w:val="true"/>
        </w:rPr>
        <w:t>.</w:t>
        <w:tab/>
      </w:r>
      <w:r>
        <w:rPr>
          <w:rtl w:val="true"/>
        </w:rPr>
        <w:t>אין צורך להכביר במילים על חומרת העבירה בה הורשע הנאשם</w:t>
      </w:r>
      <w:r>
        <w:rPr>
          <w:rtl w:val="true"/>
        </w:rPr>
        <w:t xml:space="preserve">, </w:t>
      </w:r>
      <w:r>
        <w:rPr>
          <w:rtl w:val="true"/>
        </w:rPr>
        <w:t>החזקת נשק שלא כדין</w:t>
      </w:r>
      <w:r>
        <w:rPr>
          <w:rtl w:val="true"/>
        </w:rPr>
        <w:t xml:space="preserve">, </w:t>
      </w:r>
      <w:r>
        <w:rPr>
          <w:rtl w:val="true"/>
        </w:rPr>
        <w:t>עבירה שמהווה סכנה ממשית לביטחון הציבור</w:t>
      </w:r>
      <w:r>
        <w:rPr>
          <w:rtl w:val="true"/>
        </w:rPr>
        <w:t xml:space="preserve">, </w:t>
      </w:r>
      <w:r>
        <w:rPr>
          <w:rtl w:val="true"/>
        </w:rPr>
        <w:t>היות וכלי הנשק יכל להתגלגל לגורמים פליליים</w:t>
      </w:r>
      <w:r>
        <w:rPr>
          <w:rtl w:val="true"/>
        </w:rPr>
        <w:t xml:space="preserve">, </w:t>
      </w:r>
      <w:r>
        <w:rPr>
          <w:rtl w:val="true"/>
        </w:rPr>
        <w:t>או גורמים עוינים</w:t>
      </w:r>
      <w:r>
        <w:rPr>
          <w:rtl w:val="true"/>
        </w:rPr>
        <w:t xml:space="preserve">. </w:t>
      </w:r>
      <w:r>
        <w:rPr>
          <w:rtl w:val="true"/>
        </w:rPr>
        <w:t>בית משפט עליון נתן זה מכבר את דעתו על מדיניות הענישה בעבירות נשק</w:t>
      </w:r>
      <w:r>
        <w:rPr>
          <w:rtl w:val="true"/>
        </w:rPr>
        <w:t>:</w:t>
      </w:r>
    </w:p>
    <w:p>
      <w:pPr>
        <w:pStyle w:val="Normal"/>
        <w:spacing w:lineRule="auto" w:line="360"/>
        <w:ind w:start="1440" w:end="900"/>
        <w:jc w:val="both"/>
        <w:rPr>
          <w:sz w:val="20"/>
        </w:rPr>
      </w:pPr>
      <w:r>
        <w:rPr>
          <w:b/>
          <w:bCs/>
          <w:rtl w:val="true"/>
        </w:rPr>
        <w:t>"</w:t>
      </w:r>
      <w:r>
        <w:rPr>
          <w:b/>
          <w:b/>
          <w:bCs/>
          <w:rtl w:val="true"/>
        </w:rPr>
        <w:t>אין אנו יכולים להתעלם מהעובדה</w:t>
      </w:r>
      <w:r>
        <w:rPr>
          <w:b/>
          <w:bCs/>
          <w:rtl w:val="true"/>
        </w:rPr>
        <w:t xml:space="preserve">, </w:t>
      </w:r>
      <w:r>
        <w:rPr>
          <w:b/>
          <w:b/>
          <w:bCs/>
          <w:rtl w:val="true"/>
        </w:rPr>
        <w:t>שהחזקת נשק שלא כדין הינה עבירה נפוצה</w:t>
      </w:r>
      <w:r>
        <w:rPr>
          <w:b/>
          <w:bCs/>
          <w:rtl w:val="true"/>
        </w:rPr>
        <w:t xml:space="preserve">, </w:t>
      </w:r>
      <w:r>
        <w:rPr>
          <w:b/>
          <w:b/>
          <w:bCs/>
          <w:rtl w:val="true"/>
        </w:rPr>
        <w:t>אשר מסכנת את בטחון הציבור במידה רצינית</w:t>
      </w:r>
      <w:r>
        <w:rPr>
          <w:b/>
          <w:bCs/>
          <w:rtl w:val="true"/>
        </w:rPr>
        <w:t xml:space="preserve">, </w:t>
      </w:r>
      <w:r>
        <w:rPr>
          <w:b/>
          <w:b/>
          <w:bCs/>
          <w:rtl w:val="true"/>
        </w:rPr>
        <w:t>והדברים ידועים</w:t>
      </w:r>
      <w:r>
        <w:rPr>
          <w:b/>
          <w:bCs/>
          <w:rtl w:val="true"/>
        </w:rPr>
        <w:t xml:space="preserve">. </w:t>
      </w:r>
      <w:r>
        <w:rPr>
          <w:b/>
          <w:b/>
          <w:bCs/>
          <w:rtl w:val="true"/>
        </w:rPr>
        <w:t>חשוב שתחדור לתודעת כל תושבי המדינה הידיעה</w:t>
      </w:r>
      <w:r>
        <w:rPr>
          <w:b/>
          <w:bCs/>
          <w:rtl w:val="true"/>
        </w:rPr>
        <w:t xml:space="preserve">, </w:t>
      </w:r>
      <w:r>
        <w:rPr>
          <w:b/>
          <w:b/>
          <w:bCs/>
          <w:rtl w:val="true"/>
        </w:rPr>
        <w:t>שמי שביודעין מקבל לרשותו כלי נשק שלא כדין</w:t>
      </w:r>
      <w:r>
        <w:rPr>
          <w:b/>
          <w:bCs/>
          <w:rtl w:val="true"/>
        </w:rPr>
        <w:t xml:space="preserve">, </w:t>
      </w:r>
      <w:r>
        <w:rPr>
          <w:b/>
          <w:b/>
          <w:bCs/>
          <w:rtl w:val="true"/>
        </w:rPr>
        <w:t>צפוי בגין עבירה זו לעונש מכאיב</w:t>
      </w:r>
      <w:r>
        <w:rPr>
          <w:b/>
          <w:bCs/>
          <w:rtl w:val="true"/>
        </w:rPr>
        <w:t xml:space="preserve">, </w:t>
      </w:r>
      <w:r>
        <w:rPr>
          <w:b/>
          <w:b/>
          <w:bCs/>
          <w:rtl w:val="true"/>
        </w:rPr>
        <w:t>אפילו אין הוא מתכוון אישית לבצע פשע מסוים ומוגדר בעזרת הנשק האמור</w:t>
      </w:r>
      <w:r>
        <w:rPr>
          <w:b/>
          <w:bCs/>
          <w:rtl w:val="true"/>
        </w:rPr>
        <w:t>"</w:t>
      </w:r>
      <w:r>
        <w:rPr>
          <w:rtl w:val="true"/>
        </w:rPr>
        <w:t xml:space="preserve"> (</w:t>
      </w:r>
      <w:r>
        <w:rPr>
          <w:rtl w:val="true"/>
        </w:rPr>
        <w:t>ראה ע</w:t>
      </w:r>
      <w:r>
        <w:rPr>
          <w:rtl w:val="true"/>
        </w:rPr>
        <w:t>"</w:t>
      </w:r>
      <w:r>
        <w:rPr>
          <w:rtl w:val="true"/>
        </w:rPr>
        <w:t xml:space="preserve">פ </w:t>
      </w:r>
      <w:r>
        <w:rPr/>
        <w:t>972</w:t>
      </w:r>
      <w:r>
        <w:rPr>
          <w:rtl w:val="true"/>
        </w:rPr>
        <w:t xml:space="preserve">, </w:t>
      </w:r>
      <w:r>
        <w:rPr/>
        <w:t>910/85</w:t>
      </w:r>
      <w:r>
        <w:rPr>
          <w:rtl w:val="true"/>
        </w:rPr>
        <w:t xml:space="preserve"> </w:t>
      </w:r>
      <w:r>
        <w:rPr>
          <w:b/>
          <w:b/>
          <w:bCs/>
          <w:u w:val="single"/>
          <w:rtl w:val="true"/>
        </w:rPr>
        <w:t>אברהים קונדוס ואח</w:t>
      </w:r>
      <w:r>
        <w:rPr>
          <w:b/>
          <w:bCs/>
          <w:u w:val="single"/>
          <w:rtl w:val="true"/>
        </w:rPr>
        <w:t xml:space="preserve">' </w:t>
      </w:r>
      <w:r>
        <w:rPr>
          <w:b/>
          <w:b/>
          <w:bCs/>
          <w:u w:val="single"/>
          <w:rtl w:val="true"/>
        </w:rPr>
        <w:t>נ</w:t>
      </w:r>
      <w:r>
        <w:rPr>
          <w:b/>
          <w:bCs/>
          <w:u w:val="single"/>
          <w:rtl w:val="true"/>
        </w:rPr>
        <w:t xml:space="preserve">' </w:t>
      </w:r>
      <w:r>
        <w:rPr>
          <w:b/>
          <w:b/>
          <w:bCs/>
          <w:u w:val="single"/>
          <w:rtl w:val="true"/>
        </w:rPr>
        <w:t>מדינת ישראל</w:t>
      </w:r>
      <w:r>
        <w:rPr>
          <w:rtl w:val="true"/>
        </w:rPr>
        <w:t xml:space="preserve">, </w:t>
      </w:r>
      <w:r>
        <w:rPr>
          <w:rtl w:val="true"/>
        </w:rPr>
        <w:t>תק</w:t>
      </w:r>
      <w:r>
        <w:rPr>
          <w:rtl w:val="true"/>
        </w:rPr>
        <w:t>-</w:t>
      </w:r>
      <w:r>
        <w:rPr>
          <w:rtl w:val="true"/>
        </w:rPr>
        <w:t xml:space="preserve">על </w:t>
      </w:r>
      <w:r>
        <w:rPr/>
        <w:t>86</w:t>
      </w:r>
      <w:r>
        <w:rPr>
          <w:rtl w:val="true"/>
        </w:rPr>
        <w:t>(</w:t>
      </w:r>
      <w:r>
        <w:rPr/>
        <w:t>2</w:t>
      </w:r>
      <w:r>
        <w:rPr>
          <w:rtl w:val="true"/>
        </w:rPr>
        <w:t xml:space="preserve">), </w:t>
      </w:r>
      <w:r>
        <w:rPr/>
        <w:t>670</w:t>
      </w:r>
      <w:r>
        <w:rPr>
          <w:rtl w:val="true"/>
        </w:rPr>
        <w:t xml:space="preserve">). </w:t>
      </w:r>
    </w:p>
    <w:p>
      <w:pPr>
        <w:pStyle w:val="Normal"/>
        <w:spacing w:lineRule="auto" w:line="360"/>
        <w:ind w:hanging="720" w:start="720" w:end="0"/>
        <w:jc w:val="both"/>
        <w:rPr>
          <w:sz w:val="20"/>
        </w:rPr>
      </w:pPr>
      <w:r>
        <w:rPr>
          <w:sz w:val="20"/>
          <w:rtl w:val="true"/>
        </w:rPr>
      </w:r>
    </w:p>
    <w:p>
      <w:pPr>
        <w:pStyle w:val="Normal"/>
        <w:spacing w:lineRule="auto" w:line="360"/>
        <w:ind w:start="720" w:end="0"/>
        <w:jc w:val="both"/>
        <w:rPr/>
      </w:pPr>
      <w:r>
        <w:rPr>
          <w:rtl w:val="true"/>
        </w:rPr>
        <w:t xml:space="preserve">גם גיליון הרשעותיו הקודמות של הנאשם </w:t>
      </w:r>
      <w:r>
        <w:rPr>
          <w:rtl w:val="true"/>
        </w:rPr>
        <w:t>(</w:t>
      </w:r>
      <w:r>
        <w:rPr>
          <w:rtl w:val="true"/>
        </w:rPr>
        <w:t>ת</w:t>
      </w:r>
      <w:r>
        <w:rPr>
          <w:rtl w:val="true"/>
        </w:rPr>
        <w:t>/</w:t>
      </w:r>
      <w:r>
        <w:rPr/>
        <w:t>2</w:t>
      </w:r>
      <w:r>
        <w:rPr>
          <w:rtl w:val="true"/>
        </w:rPr>
        <w:t xml:space="preserve">) </w:t>
      </w:r>
      <w:r>
        <w:rPr>
          <w:rtl w:val="true"/>
        </w:rPr>
        <w:t>עומד לו לרועץ וממנו ניתן לראות כי אין זו מעידתו הראשונה של הנאשם</w:t>
      </w:r>
      <w:r>
        <w:rPr>
          <w:rtl w:val="true"/>
        </w:rPr>
        <w:t xml:space="preserve">, </w:t>
      </w:r>
      <w:r>
        <w:rPr>
          <w:rtl w:val="true"/>
        </w:rPr>
        <w:t xml:space="preserve">אשר הורשע בעבר בעבירות על </w:t>
      </w:r>
      <w:hyperlink r:id="rId8">
        <w:r>
          <w:rPr>
            <w:rStyle w:val="Hyperlink"/>
            <w:rtl w:val="true"/>
          </w:rPr>
          <w:t>חוק הכניסה לישראל</w:t>
        </w:r>
      </w:hyperlink>
      <w:r>
        <w:rPr>
          <w:rtl w:val="true"/>
        </w:rPr>
        <w:t xml:space="preserve">, </w:t>
      </w:r>
      <w:r>
        <w:rPr>
          <w:rtl w:val="true"/>
        </w:rPr>
        <w:t>משיכת שיק ללא כיסוי</w:t>
      </w:r>
      <w:r>
        <w:rPr>
          <w:rtl w:val="true"/>
        </w:rPr>
        <w:t xml:space="preserve">, </w:t>
      </w:r>
      <w:r>
        <w:rPr>
          <w:rtl w:val="true"/>
        </w:rPr>
        <w:t>איומים ואי הגשת דו</w:t>
      </w:r>
      <w:r>
        <w:rPr>
          <w:rtl w:val="true"/>
        </w:rPr>
        <w:t>"</w:t>
      </w:r>
      <w:r>
        <w:rPr>
          <w:rtl w:val="true"/>
        </w:rPr>
        <w:t>ח למס הכנסה במועד</w:t>
      </w:r>
      <w:r>
        <w:rPr>
          <w:rtl w:val="true"/>
        </w:rPr>
        <w:t>.</w:t>
      </w:r>
    </w:p>
    <w:p>
      <w:pPr>
        <w:pStyle w:val="Normal"/>
        <w:spacing w:lineRule="auto" w:line="360"/>
        <w:ind w:start="720" w:end="0"/>
        <w:jc w:val="both"/>
        <w:rPr/>
      </w:pPr>
      <w:r>
        <w:rPr>
          <w:rtl w:val="true"/>
        </w:rPr>
        <w:t>יחד עם זאת</w:t>
      </w:r>
      <w:r>
        <w:rPr>
          <w:rtl w:val="true"/>
        </w:rPr>
        <w:t xml:space="preserve">, </w:t>
      </w:r>
      <w:r>
        <w:rPr>
          <w:rtl w:val="true"/>
        </w:rPr>
        <w:t xml:space="preserve">יודגש כי משנת </w:t>
      </w:r>
      <w:r>
        <w:rPr/>
        <w:t>2004</w:t>
      </w:r>
      <w:r>
        <w:rPr>
          <w:rtl w:val="true"/>
        </w:rPr>
        <w:t xml:space="preserve"> </w:t>
      </w:r>
      <w:r>
        <w:rPr>
          <w:rtl w:val="true"/>
        </w:rPr>
        <w:t>ועד ליום ביצוע העבירה נשוא כתב האישום הנאשם לא ביצע כל עבירה</w:t>
      </w:r>
      <w:r>
        <w:rPr>
          <w:rtl w:val="true"/>
        </w:rPr>
        <w:t>.</w:t>
      </w:r>
    </w:p>
    <w:p>
      <w:pPr>
        <w:pStyle w:val="Normal"/>
        <w:spacing w:lineRule="auto" w:line="360"/>
        <w:ind w:end="0"/>
        <w:jc w:val="both"/>
        <w:rPr/>
      </w:pPr>
      <w:r>
        <w:rPr>
          <w:rtl w:val="true"/>
        </w:rPr>
        <w:t xml:space="preserve">  </w:t>
      </w:r>
    </w:p>
    <w:p>
      <w:pPr>
        <w:pStyle w:val="Normal"/>
        <w:spacing w:lineRule="auto" w:line="360"/>
        <w:ind w:hanging="720" w:start="720" w:end="0"/>
        <w:jc w:val="both"/>
        <w:rPr/>
      </w:pPr>
      <w:r>
        <w:rPr/>
        <w:t>8</w:t>
      </w:r>
      <w:r>
        <w:rPr>
          <w:rtl w:val="true"/>
        </w:rPr>
        <w:t>.</w:t>
        <w:tab/>
      </w:r>
      <w:r>
        <w:rPr>
          <w:rtl w:val="true"/>
        </w:rPr>
        <w:t>לאחר ששקלתי לקולא ולחומרא את נסיבותיו האישיות של הנאשם מחד ואת חומרת העבירה ועברו הפלילי של הנאשם החלטתי ליתן לנאשם הזדמנות לשקם את חייו ועל אין אני מאמץ את הסדר הטיעון באשר לעונש שיושת על הנאשם</w:t>
      </w:r>
      <w:r>
        <w:rPr>
          <w:rtl w:val="true"/>
        </w:rPr>
        <w:t xml:space="preserve">. </w:t>
      </w:r>
    </w:p>
    <w:p>
      <w:pPr>
        <w:pStyle w:val="Normal"/>
        <w:spacing w:lineRule="auto" w:line="360"/>
        <w:ind w:start="720" w:end="0"/>
        <w:jc w:val="both"/>
        <w:rPr>
          <w:sz w:val="20"/>
        </w:rPr>
      </w:pPr>
      <w:r>
        <w:rPr>
          <w:rtl w:val="true"/>
        </w:rPr>
        <w:t>לעניין זה אציין כי ההלכה הפסוקה קובעת כי לבית משפט לעולם שיקול הדעת האם לאמץ הסדר טיעון אם לאו</w:t>
      </w:r>
      <w:r>
        <w:rPr>
          <w:rtl w:val="true"/>
        </w:rPr>
        <w:t xml:space="preserve">. </w:t>
      </w:r>
    </w:p>
    <w:p>
      <w:pPr>
        <w:pStyle w:val="Normal"/>
        <w:spacing w:lineRule="auto" w:line="360"/>
        <w:ind w:hanging="720" w:start="720" w:end="0"/>
        <w:jc w:val="both"/>
        <w:rPr>
          <w:sz w:val="20"/>
        </w:rPr>
      </w:pPr>
      <w:r>
        <w:rPr>
          <w:rtl w:val="true"/>
        </w:rPr>
        <w:t xml:space="preserve"> </w:t>
      </w:r>
      <w:r>
        <w:rPr>
          <w:rtl w:val="true"/>
        </w:rPr>
        <w:tab/>
      </w:r>
      <w:r>
        <w:rPr>
          <w:rtl w:val="true"/>
        </w:rPr>
        <w:t xml:space="preserve">הפסיקה </w:t>
      </w:r>
      <w:r>
        <w:rPr>
          <w:rtl w:val="true"/>
        </w:rPr>
        <w:t>(</w:t>
      </w:r>
      <w:r>
        <w:rPr>
          <w:rtl w:val="true"/>
        </w:rPr>
        <w:t>ראה</w:t>
      </w:r>
      <w:r>
        <w:rPr>
          <w:rtl w:val="true"/>
        </w:rPr>
        <w:t xml:space="preserve">: </w:t>
      </w:r>
      <w:hyperlink r:id="rId9">
        <w:r>
          <w:rPr>
            <w:rStyle w:val="Hyperlink"/>
            <w:rtl w:val="true"/>
          </w:rPr>
          <w:t>ע</w:t>
        </w:r>
        <w:r>
          <w:rPr>
            <w:rStyle w:val="Hyperlink"/>
            <w:rtl w:val="true"/>
          </w:rPr>
          <w:t>"</w:t>
        </w:r>
        <w:r>
          <w:rPr>
            <w:rStyle w:val="Hyperlink"/>
            <w:rtl w:val="true"/>
          </w:rPr>
          <w:t xml:space="preserve">פ </w:t>
        </w:r>
        <w:r>
          <w:rPr>
            <w:rStyle w:val="Hyperlink"/>
          </w:rPr>
          <w:t>70278/08</w:t>
        </w:r>
      </w:hyperlink>
      <w:r>
        <w:rPr>
          <w:rtl w:val="true"/>
        </w:rPr>
        <w:t xml:space="preserve"> </w:t>
      </w:r>
      <w:r>
        <w:rPr>
          <w:b/>
          <w:b/>
          <w:bCs/>
          <w:u w:val="single"/>
          <w:rtl w:val="true"/>
        </w:rPr>
        <w:t>צוריאל הדר נ</w:t>
      </w:r>
      <w:r>
        <w:rPr>
          <w:b/>
          <w:bCs/>
          <w:u w:val="single"/>
          <w:rtl w:val="true"/>
        </w:rPr>
        <w:t xml:space="preserve">' </w:t>
      </w:r>
      <w:r>
        <w:rPr>
          <w:b/>
          <w:b/>
          <w:bCs/>
          <w:u w:val="single"/>
          <w:rtl w:val="true"/>
        </w:rPr>
        <w:t>מד</w:t>
      </w:r>
      <w:r>
        <w:rPr>
          <w:b/>
          <w:bCs/>
          <w:u w:val="single"/>
          <w:rtl w:val="true"/>
        </w:rPr>
        <w:t>"</w:t>
      </w:r>
      <w:r>
        <w:rPr>
          <w:b/>
          <w:b/>
          <w:bCs/>
          <w:u w:val="single"/>
          <w:rtl w:val="true"/>
        </w:rPr>
        <w:t xml:space="preserve">י </w:t>
      </w:r>
      <w:r>
        <w:rPr>
          <w:rtl w:val="true"/>
        </w:rPr>
        <w:t>(</w:t>
      </w:r>
      <w:r>
        <w:rPr>
          <w:rtl w:val="true"/>
        </w:rPr>
        <w:t>פורסם בנבו</w:t>
      </w:r>
      <w:r>
        <w:rPr>
          <w:rtl w:val="true"/>
        </w:rPr>
        <w:t xml:space="preserve">)) - </w:t>
      </w:r>
      <w:r>
        <w:rPr>
          <w:rtl w:val="true"/>
        </w:rPr>
        <w:t>הציגה נוסחת איזון</w:t>
      </w:r>
      <w:r>
        <w:rPr>
          <w:rtl w:val="true"/>
        </w:rPr>
        <w:t xml:space="preserve">, </w:t>
      </w:r>
      <w:r>
        <w:rPr>
          <w:rtl w:val="true"/>
        </w:rPr>
        <w:t>כאשר נוסחה זו יש בה</w:t>
      </w:r>
      <w:r>
        <w:rPr>
          <w:rtl w:val="true"/>
        </w:rPr>
        <w:t xml:space="preserve">, </w:t>
      </w:r>
      <w:r>
        <w:rPr>
          <w:rtl w:val="true"/>
        </w:rPr>
        <w:t>מניה וביה</w:t>
      </w:r>
      <w:r>
        <w:rPr>
          <w:rtl w:val="true"/>
        </w:rPr>
        <w:t xml:space="preserve">, </w:t>
      </w:r>
      <w:r>
        <w:rPr>
          <w:rtl w:val="true"/>
        </w:rPr>
        <w:t xml:space="preserve">גם אמירה כי מקום שהעונש איננו ראוי </w:t>
      </w:r>
      <w:r>
        <w:rPr>
          <w:rtl w:val="true"/>
        </w:rPr>
        <w:t xml:space="preserve">- </w:t>
      </w:r>
      <w:r>
        <w:rPr>
          <w:rtl w:val="true"/>
        </w:rPr>
        <w:t>או שיקולי התביעה לא היו ראויים</w:t>
      </w:r>
      <w:r>
        <w:rPr>
          <w:rtl w:val="true"/>
        </w:rPr>
        <w:t xml:space="preserve">, </w:t>
      </w:r>
      <w:r>
        <w:rPr>
          <w:rtl w:val="true"/>
        </w:rPr>
        <w:t xml:space="preserve">גם אם פעלה התביעה בתום לב </w:t>
      </w:r>
      <w:r>
        <w:rPr>
          <w:rtl w:val="true"/>
        </w:rPr>
        <w:t xml:space="preserve">- </w:t>
      </w:r>
      <w:r>
        <w:rPr>
          <w:rtl w:val="true"/>
        </w:rPr>
        <w:t>אין חובה על בית המשפט לאמץ את הסדר הטיעון</w:t>
      </w:r>
      <w:r>
        <w:rPr>
          <w:rtl w:val="true"/>
        </w:rPr>
        <w:t>.</w:t>
      </w:r>
    </w:p>
    <w:p>
      <w:pPr>
        <w:pStyle w:val="Normal"/>
        <w:spacing w:lineRule="auto" w:line="360"/>
        <w:ind w:start="720" w:end="0"/>
        <w:jc w:val="both"/>
        <w:rPr>
          <w:sz w:val="20"/>
        </w:rPr>
      </w:pPr>
      <w:r>
        <w:rPr>
          <w:rtl w:val="true"/>
        </w:rPr>
        <w:t>"</w:t>
      </w:r>
      <w:r>
        <w:rPr>
          <w:rtl w:val="true"/>
        </w:rPr>
        <w:t>נוסחת האיזון</w:t>
      </w:r>
      <w:r>
        <w:rPr>
          <w:rtl w:val="true"/>
        </w:rPr>
        <w:t xml:space="preserve">" </w:t>
      </w:r>
      <w:r>
        <w:rPr>
          <w:rtl w:val="true"/>
        </w:rPr>
        <w:t>מתבססת בראש ובראשונה על יחס הולם וראוי בין הענישה שהוטלה לבין העבירות שבוצעו</w:t>
      </w:r>
      <w:r>
        <w:rPr>
          <w:rtl w:val="true"/>
        </w:rPr>
        <w:t xml:space="preserve">, </w:t>
      </w:r>
      <w:r>
        <w:rPr>
          <w:rtl w:val="true"/>
        </w:rPr>
        <w:t>וכאמור בית המשפט רשאי להביע דעתו בנושא זה</w:t>
      </w:r>
      <w:r>
        <w:rPr>
          <w:rtl w:val="true"/>
        </w:rPr>
        <w:t xml:space="preserve">, </w:t>
      </w:r>
      <w:r>
        <w:rPr>
          <w:rtl w:val="true"/>
        </w:rPr>
        <w:t>לרבות אי</w:t>
      </w:r>
      <w:r>
        <w:rPr>
          <w:rtl w:val="true"/>
        </w:rPr>
        <w:t>-</w:t>
      </w:r>
      <w:r>
        <w:rPr>
          <w:rtl w:val="true"/>
        </w:rPr>
        <w:t>אימוצו של הסדר הטיעון</w:t>
      </w:r>
      <w:r>
        <w:rPr>
          <w:rtl w:val="true"/>
        </w:rPr>
        <w:t xml:space="preserve">. </w:t>
      </w:r>
    </w:p>
    <w:p>
      <w:pPr>
        <w:pStyle w:val="Normal"/>
        <w:spacing w:lineRule="auto" w:line="360"/>
        <w:ind w:hanging="720" w:start="720" w:end="0"/>
        <w:jc w:val="both"/>
        <w:rPr>
          <w:sz w:val="20"/>
        </w:rPr>
      </w:pPr>
      <w:r>
        <w:rPr>
          <w:sz w:val="20"/>
          <w:rtl w:val="true"/>
        </w:rPr>
      </w:r>
    </w:p>
    <w:p>
      <w:pPr>
        <w:pStyle w:val="Normal"/>
        <w:spacing w:lineRule="auto" w:line="360"/>
        <w:ind w:hanging="720" w:start="720" w:end="0"/>
        <w:jc w:val="both"/>
        <w:rPr/>
      </w:pPr>
      <w:r>
        <w:rPr>
          <w:rtl w:val="true"/>
        </w:rPr>
        <w:tab/>
      </w:r>
      <w:r>
        <w:rPr>
          <w:rtl w:val="true"/>
        </w:rPr>
        <w:t>קל וחומר במקרה דנא</w:t>
      </w:r>
      <w:r>
        <w:rPr>
          <w:rtl w:val="true"/>
        </w:rPr>
        <w:t xml:space="preserve">, </w:t>
      </w:r>
      <w:r>
        <w:rPr>
          <w:rtl w:val="true"/>
        </w:rPr>
        <w:t xml:space="preserve">כאשר דינו של הנאשם </w:t>
      </w:r>
      <w:r>
        <w:rPr/>
        <w:t>1</w:t>
      </w:r>
      <w:r>
        <w:rPr>
          <w:rtl w:val="true"/>
        </w:rPr>
        <w:t xml:space="preserve"> </w:t>
      </w:r>
      <w:r>
        <w:rPr>
          <w:rtl w:val="true"/>
        </w:rPr>
        <w:t xml:space="preserve">אשר הביא לנאשם </w:t>
      </w:r>
      <w:r>
        <w:rPr/>
        <w:t>2</w:t>
      </w:r>
      <w:r>
        <w:rPr>
          <w:rtl w:val="true"/>
        </w:rPr>
        <w:t xml:space="preserve"> </w:t>
      </w:r>
      <w:r>
        <w:rPr>
          <w:rtl w:val="true"/>
        </w:rPr>
        <w:t>את הרובה</w:t>
      </w:r>
      <w:r>
        <w:rPr>
          <w:rtl w:val="true"/>
        </w:rPr>
        <w:t xml:space="preserve">, </w:t>
      </w:r>
      <w:r>
        <w:rPr>
          <w:rtl w:val="true"/>
        </w:rPr>
        <w:t>כבר נגזר והוא קיבל עונש של מאסר על תנאי</w:t>
      </w:r>
      <w:r>
        <w:rPr>
          <w:rtl w:val="true"/>
        </w:rPr>
        <w:t xml:space="preserve">, </w:t>
      </w:r>
      <w:r>
        <w:rPr>
          <w:rtl w:val="true"/>
        </w:rPr>
        <w:t>קנס והתחייבות</w:t>
      </w:r>
      <w:r>
        <w:rPr>
          <w:rtl w:val="true"/>
        </w:rPr>
        <w:t xml:space="preserve">, </w:t>
      </w:r>
      <w:r>
        <w:rPr>
          <w:rtl w:val="true"/>
        </w:rPr>
        <w:t xml:space="preserve">הרי שמכח עיקרון </w:t>
      </w:r>
      <w:r>
        <w:rPr>
          <w:rtl w:val="true"/>
        </w:rPr>
        <w:t>"</w:t>
      </w:r>
      <w:r>
        <w:rPr>
          <w:rtl w:val="true"/>
        </w:rPr>
        <w:t>אחידותה ענישה</w:t>
      </w:r>
      <w:r>
        <w:rPr>
          <w:rtl w:val="true"/>
        </w:rPr>
        <w:t xml:space="preserve">" </w:t>
      </w:r>
      <w:r>
        <w:rPr>
          <w:rtl w:val="true"/>
        </w:rPr>
        <w:t>אין לאמץ את הסדר הטיעון</w:t>
      </w:r>
      <w:r>
        <w:rPr>
          <w:rtl w:val="true"/>
        </w:rPr>
        <w:t xml:space="preserve">.  </w:t>
      </w:r>
    </w:p>
    <w:p>
      <w:pPr>
        <w:pStyle w:val="Normal"/>
        <w:spacing w:lineRule="auto" w:line="360"/>
        <w:ind w:start="1440" w:end="900"/>
        <w:jc w:val="both"/>
        <w:rPr>
          <w:sz w:val="20"/>
        </w:rPr>
      </w:pPr>
      <w:r>
        <w:rPr>
          <w:b/>
          <w:bCs/>
          <w:rtl w:val="true"/>
        </w:rPr>
        <w:t>"</w:t>
      </w:r>
      <w:r>
        <w:rPr>
          <w:b/>
          <w:b/>
          <w:bCs/>
          <w:rtl w:val="true"/>
        </w:rPr>
        <w:t>הכלל בדבר אחידות בענישה נדון רבות בפני בית משפט זה</w:t>
      </w:r>
      <w:r>
        <w:rPr>
          <w:b/>
          <w:bCs/>
          <w:rtl w:val="true"/>
        </w:rPr>
        <w:t xml:space="preserve">, </w:t>
      </w:r>
      <w:r>
        <w:rPr>
          <w:b/>
          <w:b/>
          <w:bCs/>
          <w:rtl w:val="true"/>
        </w:rPr>
        <w:t>ותמציתו היא שמקום בו מורשעים שניים בביצוע עבירה בצוותא</w:t>
      </w:r>
      <w:r>
        <w:rPr>
          <w:b/>
          <w:bCs/>
          <w:rtl w:val="true"/>
        </w:rPr>
        <w:t>-</w:t>
      </w:r>
      <w:r>
        <w:rPr>
          <w:b/>
          <w:b/>
          <w:bCs/>
          <w:rtl w:val="true"/>
        </w:rPr>
        <w:t>חדא</w:t>
      </w:r>
      <w:r>
        <w:rPr>
          <w:b/>
          <w:bCs/>
          <w:rtl w:val="true"/>
        </w:rPr>
        <w:t xml:space="preserve">, </w:t>
      </w:r>
      <w:r>
        <w:rPr>
          <w:b/>
          <w:b/>
          <w:bCs/>
          <w:rtl w:val="true"/>
        </w:rPr>
        <w:t xml:space="preserve">הכלל הוא כי אחריותם המשותפת תבוא לידי ביטוי בעונש זהה שיוטל עליהם </w:t>
      </w:r>
      <w:r>
        <w:rPr>
          <w:rtl w:val="true"/>
        </w:rPr>
        <w:t>(</w:t>
      </w:r>
      <w:hyperlink r:id="rId10">
        <w:r>
          <w:rPr>
            <w:rStyle w:val="Hyperlink"/>
            <w:rtl w:val="true"/>
          </w:rPr>
          <w:t>ע</w:t>
        </w:r>
        <w:r>
          <w:rPr>
            <w:rStyle w:val="Hyperlink"/>
            <w:rtl w:val="true"/>
          </w:rPr>
          <w:t>"</w:t>
        </w:r>
        <w:r>
          <w:rPr>
            <w:rStyle w:val="Hyperlink"/>
            <w:rtl w:val="true"/>
          </w:rPr>
          <w:t xml:space="preserve">פ </w:t>
        </w:r>
        <w:r>
          <w:rPr>
            <w:rStyle w:val="Hyperlink"/>
          </w:rPr>
          <w:t>9937/01</w:t>
        </w:r>
        <w:r>
          <w:rPr>
            <w:rStyle w:val="Hyperlink"/>
            <w:rtl w:val="true"/>
          </w:rPr>
          <w:t xml:space="preserve"> </w:t>
        </w:r>
        <w:r>
          <w:rPr>
            <w:rStyle w:val="Hyperlink"/>
            <w:rtl w:val="true"/>
          </w:rPr>
          <w:t>חורב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נח</w:t>
        </w:r>
      </w:hyperlink>
      <w:r>
        <w:rPr>
          <w:rtl w:val="true"/>
        </w:rPr>
        <w:t>(</w:t>
      </w:r>
      <w:r>
        <w:rPr/>
        <w:t>6</w:t>
      </w:r>
      <w:r>
        <w:rPr>
          <w:rtl w:val="true"/>
        </w:rPr>
        <w:t xml:space="preserve">), </w:t>
      </w:r>
      <w:r>
        <w:rPr/>
        <w:t>738</w:t>
      </w:r>
      <w:r>
        <w:rPr>
          <w:rtl w:val="true"/>
        </w:rPr>
        <w:t xml:space="preserve">, </w:t>
      </w:r>
      <w:r>
        <w:rPr/>
        <w:t>752</w:t>
      </w:r>
      <w:r>
        <w:rPr>
          <w:rtl w:val="true"/>
        </w:rPr>
        <w:t xml:space="preserve">). </w:t>
      </w:r>
    </w:p>
    <w:p>
      <w:pPr>
        <w:pStyle w:val="Normal"/>
        <w:spacing w:lineRule="auto" w:line="360"/>
        <w:ind w:end="0"/>
        <w:jc w:val="both"/>
        <w:rPr>
          <w:sz w:val="20"/>
        </w:rPr>
      </w:pPr>
      <w:r>
        <w:rPr>
          <w:sz w:val="20"/>
          <w:rtl w:val="true"/>
        </w:rPr>
      </w:r>
    </w:p>
    <w:p>
      <w:pPr>
        <w:pStyle w:val="Normal"/>
        <w:spacing w:lineRule="auto" w:line="360"/>
        <w:ind w:hanging="720" w:start="720" w:end="0"/>
        <w:jc w:val="both"/>
        <w:rPr/>
      </w:pPr>
      <w:r>
        <w:rPr/>
        <w:t>9</w:t>
      </w:r>
      <w:r>
        <w:rPr>
          <w:rtl w:val="true"/>
        </w:rPr>
        <w:t>.</w:t>
        <w:tab/>
      </w:r>
      <w:r>
        <w:rPr>
          <w:rtl w:val="true"/>
        </w:rPr>
        <w:t>לאור כל האמור לעיל</w:t>
      </w:r>
      <w:r>
        <w:rPr>
          <w:rtl w:val="true"/>
        </w:rPr>
        <w:t xml:space="preserve">, </w:t>
      </w:r>
      <w:r>
        <w:rPr>
          <w:rtl w:val="true"/>
        </w:rPr>
        <w:t>ובהתחשב במהותו של כלי נשק שנתפס שהינו רובה אויר</w:t>
      </w:r>
      <w:r>
        <w:rPr>
          <w:rtl w:val="true"/>
        </w:rPr>
        <w:t xml:space="preserve">, </w:t>
      </w:r>
      <w:r>
        <w:rPr>
          <w:rtl w:val="true"/>
        </w:rPr>
        <w:t>ובהיות הנאשם אבי משפחה מרובת ילדים ומפרנסה היחיד</w:t>
      </w:r>
      <w:r>
        <w:rPr>
          <w:rtl w:val="true"/>
        </w:rPr>
        <w:t xml:space="preserve">, </w:t>
      </w:r>
      <w:r>
        <w:rPr>
          <w:rtl w:val="true"/>
        </w:rPr>
        <w:t>ובהתחשב במצבו הבריאותי של הנאשם</w:t>
      </w:r>
      <w:r>
        <w:rPr>
          <w:rtl w:val="true"/>
        </w:rPr>
        <w:t xml:space="preserve">, </w:t>
      </w:r>
      <w:r>
        <w:rPr>
          <w:rtl w:val="true"/>
        </w:rPr>
        <w:t>ובהתחשב בהודיית הנאשם בהזדמנות הראשונה אינני מאמץ את הסדר הטיעון וגוזר על הנאשם את העונשים הבאים</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 xml:space="preserve">מאסר על תנאי לתקופה של </w:t>
      </w:r>
      <w:r>
        <w:rPr/>
        <w:t>12</w:t>
      </w:r>
      <w:r>
        <w:rPr>
          <w:rtl w:val="true"/>
        </w:rPr>
        <w:t xml:space="preserve"> </w:t>
      </w:r>
      <w:r>
        <w:rPr>
          <w:rtl w:val="true"/>
        </w:rPr>
        <w:t>חודשים</w:t>
      </w:r>
      <w:r>
        <w:rPr>
          <w:rtl w:val="true"/>
        </w:rPr>
        <w:t xml:space="preserve">, </w:t>
      </w:r>
      <w:r>
        <w:rPr>
          <w:rtl w:val="true"/>
        </w:rPr>
        <w:t xml:space="preserve">והתנאי הוא שהנאשם לא יעבור במשך </w:t>
      </w:r>
      <w:r>
        <w:rPr/>
        <w:t>3</w:t>
      </w:r>
      <w:r>
        <w:rPr>
          <w:rtl w:val="true"/>
        </w:rPr>
        <w:t xml:space="preserve"> </w:t>
      </w:r>
      <w:r>
        <w:rPr>
          <w:rtl w:val="true"/>
        </w:rPr>
        <w:t>שנים מהיום עבירה של החזקת נשק שלא כדין</w:t>
      </w:r>
      <w:r>
        <w:rPr>
          <w:rtl w:val="true"/>
        </w:rPr>
        <w:t xml:space="preserve">, </w:t>
      </w:r>
      <w:r>
        <w:rPr>
          <w:rtl w:val="true"/>
        </w:rPr>
        <w:t>ויורשע בין בתקופת התנאי ובין לאחריו</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 xml:space="preserve">תשלום קנס בשיעור </w:t>
      </w:r>
      <w:r>
        <w:rPr/>
        <w:t>2,000</w:t>
      </w:r>
      <w:r>
        <w:rPr>
          <w:rtl w:val="true"/>
        </w:rPr>
        <w:t xml:space="preserve"> ₪ </w:t>
      </w:r>
      <w:r>
        <w:rPr>
          <w:rtl w:val="true"/>
        </w:rPr>
        <w:t xml:space="preserve">או </w:t>
      </w:r>
      <w:r>
        <w:rPr/>
        <w:t>10</w:t>
      </w:r>
      <w:r>
        <w:rPr>
          <w:rtl w:val="true"/>
        </w:rPr>
        <w:t xml:space="preserve"> </w:t>
      </w:r>
      <w:r>
        <w:rPr>
          <w:rtl w:val="true"/>
        </w:rPr>
        <w:t>ימי מאסר תחתיו</w:t>
      </w:r>
      <w:r>
        <w:rPr>
          <w:rtl w:val="true"/>
        </w:rPr>
        <w:t xml:space="preserve">. </w:t>
      </w:r>
    </w:p>
    <w:p>
      <w:pPr>
        <w:pStyle w:val="Normal"/>
        <w:spacing w:lineRule="auto" w:line="360"/>
        <w:ind w:hanging="720" w:start="1440" w:end="0"/>
        <w:jc w:val="both"/>
        <w:rPr/>
      </w:pPr>
      <w:r>
        <w:rPr>
          <w:rtl w:val="true"/>
        </w:rPr>
        <w:tab/>
      </w:r>
      <w:r>
        <w:rPr>
          <w:rtl w:val="true"/>
        </w:rPr>
        <w:t>הקנס ישולם ב</w:t>
      </w:r>
      <w:r>
        <w:rPr>
          <w:rtl w:val="true"/>
        </w:rPr>
        <w:t xml:space="preserve">- </w:t>
      </w:r>
      <w:r>
        <w:rPr/>
        <w:t>4</w:t>
      </w:r>
      <w:r>
        <w:rPr>
          <w:rtl w:val="true"/>
        </w:rPr>
        <w:t xml:space="preserve"> </w:t>
      </w:r>
      <w:r>
        <w:rPr>
          <w:rtl w:val="true"/>
        </w:rPr>
        <w:t>תשלומים שווים ורצופים</w:t>
      </w:r>
      <w:r>
        <w:rPr>
          <w:rtl w:val="true"/>
        </w:rPr>
        <w:t xml:space="preserve">, </w:t>
      </w:r>
      <w:r>
        <w:rPr>
          <w:rtl w:val="true"/>
        </w:rPr>
        <w:t xml:space="preserve">החל מיום </w:t>
      </w:r>
      <w:r>
        <w:rPr/>
        <w:t>15.8.09</w:t>
      </w:r>
      <w:r>
        <w:rPr>
          <w:rtl w:val="true"/>
        </w:rPr>
        <w:t xml:space="preserve"> </w:t>
      </w:r>
      <w:r>
        <w:rPr>
          <w:rtl w:val="true"/>
        </w:rPr>
        <w:t xml:space="preserve">ובכל </w:t>
      </w:r>
      <w:r>
        <w:rPr/>
        <w:t>15</w:t>
      </w:r>
      <w:r>
        <w:rPr>
          <w:rtl w:val="true"/>
        </w:rPr>
        <w:t xml:space="preserve"> </w:t>
      </w:r>
      <w:r>
        <w:rPr>
          <w:rtl w:val="true"/>
        </w:rPr>
        <w:t>לחודש אחריו</w:t>
      </w:r>
      <w:r>
        <w:rPr>
          <w:rtl w:val="true"/>
        </w:rPr>
        <w:t xml:space="preserve">. </w:t>
      </w:r>
    </w:p>
    <w:p>
      <w:pPr>
        <w:pStyle w:val="Normal"/>
        <w:spacing w:lineRule="auto" w:line="360"/>
        <w:ind w:start="1440" w:end="0"/>
        <w:jc w:val="both"/>
        <w:rPr/>
      </w:pPr>
      <w:r>
        <w:rPr>
          <w:rtl w:val="true"/>
        </w:rPr>
        <w:t>היה והקנס או שיעור משיעורו לא ישלום במועד</w:t>
      </w:r>
      <w:r>
        <w:rPr>
          <w:rtl w:val="true"/>
        </w:rPr>
        <w:t xml:space="preserve">, </w:t>
      </w:r>
      <w:r>
        <w:rPr>
          <w:rtl w:val="true"/>
        </w:rPr>
        <w:t>תעמוד יתרת הקנס לתשלום מיידי</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 xml:space="preserve">. </w:t>
        <w:tab/>
      </w:r>
      <w:r>
        <w:rPr>
          <w:rtl w:val="true"/>
        </w:rPr>
        <w:t xml:space="preserve">אני מחייב את הנאשם לחתום על התחייבות כספית בסך </w:t>
      </w:r>
      <w:r>
        <w:rPr/>
        <w:t>5,000</w:t>
      </w:r>
      <w:r>
        <w:rPr>
          <w:rtl w:val="true"/>
        </w:rPr>
        <w:t xml:space="preserve"> ₪, </w:t>
      </w:r>
      <w:r>
        <w:rPr>
          <w:rtl w:val="true"/>
        </w:rPr>
        <w:t>להימנע</w:t>
      </w:r>
      <w:r>
        <w:rPr>
          <w:rtl w:val="true"/>
        </w:rPr>
        <w:t xml:space="preserve">, </w:t>
      </w:r>
      <w:r>
        <w:rPr>
          <w:rtl w:val="true"/>
        </w:rPr>
        <w:t xml:space="preserve">תוך </w:t>
      </w:r>
      <w:r>
        <w:rPr/>
        <w:t>3</w:t>
      </w:r>
      <w:r>
        <w:rPr>
          <w:rtl w:val="true"/>
        </w:rPr>
        <w:t xml:space="preserve"> </w:t>
      </w:r>
      <w:r>
        <w:rPr>
          <w:rtl w:val="true"/>
        </w:rPr>
        <w:t>שנים מהיום</w:t>
      </w:r>
      <w:r>
        <w:rPr>
          <w:rtl w:val="true"/>
        </w:rPr>
        <w:t xml:space="preserve">, </w:t>
      </w:r>
      <w:r>
        <w:rPr>
          <w:rtl w:val="true"/>
        </w:rPr>
        <w:t>מלעבור עבירה על סעיפים בהם הורשע</w:t>
      </w:r>
      <w:r>
        <w:rPr>
          <w:rtl w:val="true"/>
        </w:rPr>
        <w:t xml:space="preserve">. </w:t>
      </w:r>
      <w:r>
        <w:rPr>
          <w:rtl w:val="true"/>
        </w:rPr>
        <w:t xml:space="preserve">באם יסרב לחתום על ההתחייבות </w:t>
      </w:r>
      <w:r>
        <w:rPr>
          <w:rtl w:val="true"/>
        </w:rPr>
        <w:t xml:space="preserve">- </w:t>
      </w:r>
      <w:r>
        <w:rPr>
          <w:rtl w:val="true"/>
        </w:rPr>
        <w:t xml:space="preserve">יאסר ל </w:t>
      </w:r>
      <w:r>
        <w:rPr>
          <w:rtl w:val="true"/>
        </w:rPr>
        <w:t xml:space="preserve">- </w:t>
      </w:r>
      <w:r>
        <w:rPr/>
        <w:t>3</w:t>
      </w:r>
      <w:r>
        <w:rPr>
          <w:rtl w:val="true"/>
        </w:rPr>
        <w:t xml:space="preserve"> </w:t>
      </w:r>
      <w:r>
        <w:rPr>
          <w:rtl w:val="true"/>
        </w:rPr>
        <w:t>ימים או עד שיחתום לפי המוקדם</w:t>
      </w:r>
      <w:r>
        <w:rPr>
          <w:rtl w:val="true"/>
        </w:rPr>
        <w:t>.</w:t>
      </w:r>
    </w:p>
    <w:p>
      <w:pPr>
        <w:pStyle w:val="Normal"/>
        <w:spacing w:lineRule="auto" w:line="360"/>
        <w:ind w:hanging="720" w:start="720" w:end="0"/>
        <w:jc w:val="both"/>
        <w:rPr/>
      </w:pPr>
      <w:r>
        <w:rPr>
          <w:rtl w:val="true"/>
        </w:rPr>
        <w:t xml:space="preserve"> </w:t>
      </w:r>
    </w:p>
    <w:p>
      <w:pPr>
        <w:pStyle w:val="Normal"/>
        <w:spacing w:lineRule="auto" w:line="360"/>
        <w:ind w:start="720" w:end="0"/>
        <w:jc w:val="both"/>
        <w:rPr/>
      </w:pPr>
      <w:r>
        <w:rPr>
          <w:rtl w:val="true"/>
        </w:rPr>
        <w:t>אני מורה על חילוט המוצגים – רובה אויר ו</w:t>
      </w:r>
      <w:r>
        <w:rPr>
          <w:rtl w:val="true"/>
        </w:rPr>
        <w:t>-</w:t>
      </w:r>
      <w:r>
        <w:rPr/>
        <w:t>67</w:t>
      </w:r>
      <w:r>
        <w:rPr>
          <w:rtl w:val="true"/>
        </w:rPr>
        <w:t xml:space="preserve"> </w:t>
      </w:r>
      <w:r>
        <w:rPr>
          <w:rtl w:val="true"/>
        </w:rPr>
        <w:t>כדורי ציד</w:t>
      </w:r>
      <w:r>
        <w:rPr>
          <w:rtl w:val="true"/>
        </w:rPr>
        <w:t>.</w:t>
      </w:r>
    </w:p>
    <w:p>
      <w:pPr>
        <w:pStyle w:val="Normal"/>
        <w:spacing w:lineRule="auto" w:line="360"/>
        <w:ind w:hanging="720" w:start="720" w:end="0"/>
        <w:jc w:val="both"/>
        <w:rPr/>
      </w:pPr>
      <w:r>
        <w:rPr>
          <w:rtl w:val="true"/>
        </w:rPr>
        <w:t xml:space="preserve"> </w:t>
      </w:r>
    </w:p>
    <w:p>
      <w:pPr>
        <w:pStyle w:val="Normal"/>
        <w:spacing w:lineRule="auto" w:line="360"/>
        <w:ind w:hanging="720" w:start="720" w:end="0"/>
        <w:jc w:val="both"/>
        <w:rPr>
          <w:b/>
          <w:bCs/>
          <w:u w:val="single"/>
        </w:rPr>
      </w:pPr>
      <w:r>
        <w:rPr>
          <w:b/>
          <w:b/>
          <w:bCs/>
          <w:u w:val="single"/>
          <w:rtl w:val="true"/>
        </w:rPr>
        <w:t xml:space="preserve">הודעה והוסברה זכות הערעור תוך </w:t>
      </w:r>
      <w:r>
        <w:rPr>
          <w:b/>
          <w:bCs/>
          <w:u w:val="single"/>
        </w:rPr>
        <w:t>45</w:t>
      </w:r>
      <w:r>
        <w:rPr>
          <w:b/>
          <w:bCs/>
          <w:u w:val="single"/>
          <w:rtl w:val="true"/>
        </w:rPr>
        <w:t xml:space="preserve"> </w:t>
      </w:r>
      <w:r>
        <w:rPr>
          <w:b/>
          <w:b/>
          <w:bCs/>
          <w:u w:val="single"/>
          <w:rtl w:val="true"/>
        </w:rPr>
        <w:t>יום מהיום</w:t>
      </w:r>
      <w:r>
        <w:rPr>
          <w:b/>
          <w:bCs/>
          <w:u w:val="single"/>
          <w:rtl w:val="true"/>
        </w:rPr>
        <w:t>.</w:t>
      </w:r>
    </w:p>
    <w:p>
      <w:pPr>
        <w:pStyle w:val="David"/>
        <w:ind w:end="0"/>
        <w:jc w:val="both"/>
        <w:rPr>
          <w:rFonts w:ascii="David" w:hAnsi="David" w:cs="David"/>
          <w:b/>
          <w:bCs/>
          <w:u w:val="single"/>
        </w:rPr>
      </w:pPr>
      <w:r>
        <w:rPr>
          <w:rFonts w:cs="David" w:ascii="David" w:hAnsi="David"/>
          <w:b/>
          <w:bCs/>
          <w:u w:val="single"/>
          <w:rtl w:val="true"/>
        </w:rPr>
      </w:r>
    </w:p>
    <w:p>
      <w:pPr>
        <w:pStyle w:val="David"/>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#4#</w:t>
      </w:r>
      <w:r>
        <w:rPr>
          <w:rFonts w:cs="David" w:ascii="David" w:hAnsi="David"/>
          <w:sz w:val="6"/>
          <w:szCs w:val="6"/>
          <w:rtl w:val="true"/>
        </w:rPr>
        <w:t>&gt;</w:t>
      </w:r>
    </w:p>
    <w:p>
      <w:pPr>
        <w:pStyle w:val="Normal"/>
        <w:ind w:end="0"/>
        <w:jc w:val="end"/>
        <w:rPr/>
      </w:pPr>
      <w:r>
        <w:rPr>
          <w:vanish/>
          <w:highlight w:val="yellow"/>
          <w:rtl w:val="true"/>
        </w:rPr>
        <w:t>&lt;</w:t>
      </w:r>
    </w:p>
    <w:p>
      <w:pPr>
        <w:pStyle w:val="Normal"/>
        <w:ind w:end="0"/>
        <w:jc w:val="both"/>
        <w:rPr/>
      </w:pPr>
      <w:r>
        <w:rPr>
          <w:b/>
          <w:b/>
          <w:bCs/>
          <w:rtl w:val="true"/>
        </w:rPr>
        <w:t>ניתנה והודעה היום כ</w:t>
      </w:r>
      <w:r>
        <w:rPr>
          <w:b/>
          <w:bCs/>
          <w:rtl w:val="true"/>
        </w:rPr>
        <w:t>"</w:t>
      </w:r>
      <w:r>
        <w:rPr>
          <w:b/>
          <w:b/>
          <w:bCs/>
          <w:rtl w:val="true"/>
        </w:rPr>
        <w:t>ב תמוז תשס</w:t>
      </w:r>
      <w:r>
        <w:rPr>
          <w:b/>
          <w:bCs/>
          <w:rtl w:val="true"/>
        </w:rPr>
        <w:t>"</w:t>
      </w:r>
      <w:r>
        <w:rPr>
          <w:b/>
          <w:b/>
          <w:bCs/>
          <w:rtl w:val="true"/>
        </w:rPr>
        <w:t>ט</w:t>
      </w:r>
      <w:r>
        <w:rPr>
          <w:b/>
          <w:bCs/>
          <w:rtl w:val="true"/>
        </w:rPr>
        <w:t xml:space="preserve">, </w:t>
      </w:r>
      <w:r>
        <w:rPr>
          <w:b/>
          <w:bCs/>
        </w:rPr>
        <w:t>14/07/2009</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ה סברי מוחסן </w:t>
      </w:r>
      <w:r>
        <w:rPr>
          <w:color w:val="000000"/>
          <w:sz w:val="22"/>
          <w:szCs w:val="22"/>
        </w:rPr>
        <w:t>54678313-1158/08</w:t>
      </w:r>
    </w:p>
    <w:p>
      <w:pPr>
        <w:pStyle w:val="Normal"/>
        <w:ind w:end="0"/>
        <w:jc w:val="center"/>
        <w:rPr/>
      </w:pPr>
      <w:r>
        <w:rPr>
          <w:color w:val="FFFFFF"/>
          <w:sz w:val="2"/>
          <w:szCs w:val="2"/>
        </w:rPr>
        <w:t>5467831354678313</w:t>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rFonts w:ascii="Times New Roman" w:hAnsi="Times New Roman" w:eastAsia="Times New Roman" w:cs="Times New Roman"/>
              </w:rPr>
            </w:pPr>
            <w:r>
              <w:rPr>
                <w:rFonts w:eastAsia="Times New Roman" w:cs="Times New Roman" w:ascii="Times New Roman" w:hAnsi="Times New Roman"/>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ascii="Times New Roman" w:hAnsi="Times New Roman" w:eastAsia="Times New Roman" w:cs="Times New Roman"/>
                <w:b/>
                <w:bCs/>
              </w:rPr>
            </w:pP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סברי</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מוחסן</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סגן נשיא</w:t>
            </w:r>
            <w:r>
              <w:rPr>
                <w:rFonts w:eastAsia="Times New Roman" w:cs="Times New Roman" w:ascii="Times New Roman" w:hAnsi="Times New Roman"/>
                <w:vanish/>
                <w:highlight w:val="yellow"/>
                <w:rtl w:val="true"/>
              </w:rPr>
              <w:t>&gt;</w:t>
            </w:r>
          </w:p>
        </w:tc>
      </w:tr>
    </w:tbl>
    <w:p>
      <w:pPr>
        <w:pStyle w:val="Normal"/>
        <w:ind w:end="0"/>
        <w:jc w:val="end"/>
        <w:rPr/>
      </w:pPr>
      <w:r>
        <w:rPr>
          <w:vanish/>
          <w:highlight w:val="yellow"/>
          <w:rtl w:val="true"/>
        </w:rPr>
        <w:t>&gt;</w:t>
      </w:r>
    </w:p>
    <w:p>
      <w:pPr>
        <w:pStyle w:val="David"/>
        <w:ind w:end="0"/>
        <w:jc w:val="both"/>
        <w:rPr>
          <w:rFonts w:ascii="David" w:hAnsi="David" w:cs="David"/>
        </w:rPr>
      </w:pPr>
      <w:r>
        <w:rPr>
          <w:rtl w:val="true"/>
        </w:rPr>
        <w:t>מ</w:t>
      </w:r>
      <w:r>
        <w:rPr>
          <w:rtl w:val="true"/>
        </w:rPr>
        <w:t>.</w:t>
      </w:r>
      <w:r>
        <w:rPr>
          <w:rtl w:val="true"/>
        </w:rPr>
        <w:t>א</w:t>
      </w:r>
      <w:r>
        <w:rPr>
          <w:rtl w:val="true"/>
        </w:rPr>
        <w:t xml:space="preserve">. </w:t>
      </w:r>
      <w:r>
        <w:rPr>
          <w:rtl w:val="true"/>
        </w:rPr>
        <w:t xml:space="preserve"> </w:t>
      </w:r>
    </w:p>
    <w:p>
      <w:pPr>
        <w:pStyle w:val="Normal"/>
        <w:ind w:end="0"/>
        <w:jc w:val="start"/>
        <w:rPr>
          <w:rFonts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מירי</w:t>
      </w:r>
      <w:r>
        <w:rPr>
          <w:rFonts w:ascii="Arial" w:hAnsi="Arial" w:eastAsia="Arial" w:cs="Arial"/>
          <w:sz w:val="28"/>
          <w:sz w:val="28"/>
          <w:szCs w:val="28"/>
          <w:rtl w:val="true"/>
        </w:rPr>
        <w:t xml:space="preserve"> </w:t>
      </w:r>
      <w:r>
        <w:rPr>
          <w:rFonts w:ascii="Arial" w:hAnsi="Arial" w:cs="FrankRuehl"/>
          <w:sz w:val="28"/>
          <w:sz w:val="28"/>
          <w:szCs w:val="28"/>
          <w:rtl w:val="true"/>
        </w:rPr>
        <w:t>אהרון</w:t>
      </w:r>
      <w:r>
        <w:rPr>
          <w:vanish/>
          <w:highlight w:val="yellow"/>
          <w:rtl w:val="true"/>
        </w:rPr>
        <w:t>&gt;</w:t>
      </w:r>
    </w:p>
    <w:p>
      <w:pPr>
        <w:pStyle w:val="Normal"/>
        <w:ind w:end="0"/>
        <w:jc w:val="start"/>
        <w:rPr>
          <w:rFonts w:cs="FrankRuehl"/>
          <w:sz w:val="28"/>
          <w:szCs w:val="28"/>
        </w:rPr>
      </w:pPr>
      <w:r>
        <w:rPr>
          <w:rFonts w:cs="FrankRuehl"/>
          <w:color w:val="000000"/>
          <w:sz w:val="28"/>
          <w:sz w:val="28"/>
          <w:szCs w:val="28"/>
          <w:rtl w:val="true"/>
        </w:rPr>
        <w:t>נוסח</w:t>
      </w:r>
      <w:r>
        <w:rPr>
          <w:color w:val="000000"/>
          <w:sz w:val="28"/>
          <w:sz w:val="28"/>
          <w:szCs w:val="28"/>
          <w:rtl w:val="true"/>
        </w:rPr>
        <w:t xml:space="preserve"> </w:t>
      </w:r>
      <w:r>
        <w:rPr>
          <w:rFonts w:cs="FrankRuehl"/>
          <w:color w:val="000000"/>
          <w:sz w:val="28"/>
          <w:sz w:val="28"/>
          <w:szCs w:val="28"/>
          <w:rtl w:val="true"/>
        </w:rPr>
        <w:t>מסמך</w:t>
      </w:r>
      <w:r>
        <w:rPr>
          <w:color w:val="000000"/>
          <w:sz w:val="28"/>
          <w:sz w:val="28"/>
          <w:szCs w:val="28"/>
          <w:rtl w:val="true"/>
        </w:rPr>
        <w:t xml:space="preserve"> </w:t>
      </w:r>
      <w:r>
        <w:rPr>
          <w:rFonts w:cs="FrankRuehl"/>
          <w:color w:val="000000"/>
          <w:sz w:val="28"/>
          <w:sz w:val="28"/>
          <w:szCs w:val="28"/>
          <w:rtl w:val="true"/>
        </w:rPr>
        <w:t>זה</w:t>
      </w:r>
      <w:r>
        <w:rPr>
          <w:color w:val="000000"/>
          <w:sz w:val="28"/>
          <w:sz w:val="28"/>
          <w:szCs w:val="28"/>
          <w:rtl w:val="true"/>
        </w:rPr>
        <w:t xml:space="preserve"> </w:t>
      </w:r>
      <w:r>
        <w:rPr>
          <w:rFonts w:cs="FrankRuehl"/>
          <w:color w:val="000000"/>
          <w:sz w:val="28"/>
          <w:sz w:val="28"/>
          <w:szCs w:val="28"/>
          <w:rtl w:val="true"/>
        </w:rPr>
        <w:t>כפוף</w:t>
      </w:r>
      <w:r>
        <w:rPr>
          <w:color w:val="000000"/>
          <w:sz w:val="28"/>
          <w:sz w:val="28"/>
          <w:szCs w:val="28"/>
          <w:rtl w:val="true"/>
        </w:rPr>
        <w:t xml:space="preserve"> </w:t>
      </w:r>
      <w:r>
        <w:rPr>
          <w:rFonts w:cs="FrankRuehl"/>
          <w:color w:val="000000"/>
          <w:sz w:val="28"/>
          <w:sz w:val="28"/>
          <w:szCs w:val="28"/>
          <w:rtl w:val="true"/>
        </w:rPr>
        <w:t>לשינויי</w:t>
      </w:r>
      <w:r>
        <w:rPr>
          <w:color w:val="000000"/>
          <w:sz w:val="28"/>
          <w:sz w:val="28"/>
          <w:szCs w:val="28"/>
          <w:rtl w:val="true"/>
        </w:rPr>
        <w:t xml:space="preserve"> </w:t>
      </w:r>
      <w:r>
        <w:rPr>
          <w:rFonts w:cs="FrankRuehl"/>
          <w:color w:val="000000"/>
          <w:sz w:val="28"/>
          <w:sz w:val="28"/>
          <w:szCs w:val="28"/>
          <w:rtl w:val="true"/>
        </w:rPr>
        <w:t>ניסוח</w:t>
      </w:r>
      <w:r>
        <w:rPr>
          <w:color w:val="000000"/>
          <w:sz w:val="28"/>
          <w:sz w:val="28"/>
          <w:szCs w:val="28"/>
          <w:rtl w:val="true"/>
        </w:rPr>
        <w:t xml:space="preserve"> </w:t>
      </w:r>
      <w:r>
        <w:rPr>
          <w:rFonts w:cs="FrankRuehl"/>
          <w:color w:val="000000"/>
          <w:sz w:val="28"/>
          <w:sz w:val="28"/>
          <w:szCs w:val="28"/>
          <w:rtl w:val="true"/>
        </w:rPr>
        <w:t>ועריכה</w:t>
      </w:r>
      <w:r>
        <w:rPr>
          <w:sz w:val="28"/>
          <w:sz w:val="28"/>
          <w:szCs w:val="28"/>
          <w:rtl w:val="true"/>
        </w:rPr>
        <w:t xml:space="preserve"> </w:t>
      </w:r>
    </w:p>
    <w:p>
      <w:pPr>
        <w:pStyle w:val="Normal"/>
        <w:ind w:end="0"/>
        <w:jc w:val="start"/>
        <w:rPr>
          <w:rFonts w:cs="FrankRuehl"/>
          <w:sz w:val="28"/>
          <w:szCs w:val="28"/>
        </w:rPr>
      </w:pPr>
      <w:r>
        <w:rPr>
          <w:rFonts w:cs="FrankRuehl"/>
          <w:sz w:val="28"/>
          <w:szCs w:val="28"/>
          <w:rtl w:val="true"/>
        </w:rPr>
      </w:r>
    </w:p>
    <w:p>
      <w:pPr>
        <w:pStyle w:val="Normal"/>
        <w:ind w:end="0"/>
        <w:jc w:val="start"/>
        <w:rPr>
          <w:color w:val="000000"/>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sectPr>
      <w:headerReference w:type="default" r:id="rId11"/>
      <w:footerReference w:type="default" r:id="rId1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/Users/liorb/Downloads/study2025-p2/SH-08-1158-984.doc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חד</w:t>
    </w:r>
    <w:r>
      <w:rPr>
        <w:color w:val="000000"/>
        <w:sz w:val="22"/>
        <w:szCs w:val="22"/>
        <w:rtl w:val="true"/>
      </w:rPr>
      <w:t xml:space="preserve">') </w:t>
    </w:r>
    <w:r>
      <w:rPr>
        <w:color w:val="000000"/>
        <w:sz w:val="22"/>
        <w:szCs w:val="22"/>
      </w:rPr>
      <w:t>1158-08</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 xml:space="preserve">תביעות חדרה </w:t>
    </w:r>
    <w:r>
      <w:rPr>
        <w:color w:val="000000"/>
        <w:sz w:val="22"/>
        <w:szCs w:val="22"/>
        <w:rtl w:val="true"/>
      </w:rPr>
      <w:t>-</w:t>
    </w:r>
    <w:r>
      <w:rPr>
        <w:color w:val="000000"/>
        <w:sz w:val="22"/>
        <w:sz w:val="22"/>
        <w:szCs w:val="22"/>
        <w:rtl w:val="true"/>
      </w:rPr>
      <w:t>משטרת ישראל נ</w:t>
    </w:r>
    <w:r>
      <w:rPr>
        <w:color w:val="000000"/>
        <w:sz w:val="22"/>
        <w:szCs w:val="22"/>
        <w:rtl w:val="true"/>
      </w:rPr>
      <w:t xml:space="preserve">' </w:t>
    </w:r>
    <w:r>
      <w:rPr>
        <w:color w:val="000000"/>
        <w:sz w:val="22"/>
        <w:sz w:val="22"/>
        <w:szCs w:val="22"/>
        <w:rtl w:val="true"/>
      </w:rPr>
      <w:t>רדא אגבאריה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1158-08"/>
    <w:docVar w:name="caseId" w:val="3072093"/>
    <w:docVar w:name="deriveClass" w:val="NGCS.Protocol.BL.Client.ProtocolBLClientCriminal"/>
    <w:docVar w:name="firstPageNumber" w:val="21"/>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402646"/>
    <w:docVar w:name="releaseSign" w:val="0"/>
    <w:docVar w:name="sittingDateTime" w:val="14/07/2009 09:30     "/>
    <w:docVar w:name="sittingId" w:val="15666731"/>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LineNumber">
    <w:name w:val="line number"/>
    <w:rPr>
      <w:rFonts w:cs="Arial"/>
      <w:szCs w:val="2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ascii="Times New Roman" w:hAnsi="Times New Roman" w:eastAsia="Times New Roman" w:cs="Times New Roman"/>
      <w:sz w:val="20"/>
      <w:szCs w:val="20"/>
    </w:rPr>
  </w:style>
  <w:style w:type="paragraph" w:styleId="BalloonText">
    <w:name w:val="Balloon Text"/>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90721"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case/5982047" TargetMode="External"/><Relationship Id="rId8" Type="http://schemas.openxmlformats.org/officeDocument/2006/relationships/hyperlink" Target="http://www.nevo.co.il/law/90721" TargetMode="External"/><Relationship Id="rId9" Type="http://schemas.openxmlformats.org/officeDocument/2006/relationships/hyperlink" Target="http://www.nevo.co.il/case/687656" TargetMode="External"/><Relationship Id="rId10" Type="http://schemas.openxmlformats.org/officeDocument/2006/relationships/hyperlink" Target="http://www.nevo.co.il/case/5701742"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2016-08-14T07:34:00Z</dcterms:created>
  <dc:creator> </dc:creator>
  <dc:description/>
  <cp:keywords/>
  <dc:language>en-IL</dc:language>
  <cp:lastModifiedBy>hofit</cp:lastModifiedBy>
  <cp:lastPrinted>2009-07-14T11:20:00Z</cp:lastPrinted>
  <dcterms:modified xsi:type="dcterms:W3CDTF">2016-08-14T07:34:00Z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תביעות חדרה -משטרת ישראל</vt:lpwstr>
  </property>
  <property fmtid="{D5CDD505-2E9C-101B-9397-08002B2CF9AE}" pid="3" name="APPELLEE">
    <vt:lpwstr>רדא אגבאריה;מוחמד גבארין</vt:lpwstr>
  </property>
  <property fmtid="{D5CDD505-2E9C-101B-9397-08002B2CF9AE}" pid="4" name="CASESLISTTMP1">
    <vt:lpwstr>5982047;687656;5701742</vt:lpwstr>
  </property>
  <property fmtid="{D5CDD505-2E9C-101B-9397-08002B2CF9AE}" pid="5" name="CITY">
    <vt:lpwstr>חד'</vt:lpwstr>
  </property>
  <property fmtid="{D5CDD505-2E9C-101B-9397-08002B2CF9AE}" pid="6" name="DATE">
    <vt:lpwstr>20090714</vt:lpwstr>
  </property>
  <property fmtid="{D5CDD505-2E9C-101B-9397-08002B2CF9AE}" pid="7" name="DELEMATA">
    <vt:lpwstr/>
  </property>
  <property fmtid="{D5CDD505-2E9C-101B-9397-08002B2CF9AE}" pid="8" name="ISABSTRACT">
    <vt:lpwstr>Y</vt:lpwstr>
  </property>
  <property fmtid="{D5CDD505-2E9C-101B-9397-08002B2CF9AE}" pid="9" name="JUDGE">
    <vt:lpwstr>ה סברי מוחסן</vt:lpwstr>
  </property>
  <property fmtid="{D5CDD505-2E9C-101B-9397-08002B2CF9AE}" pid="10" name="LAWLISTTMP1">
    <vt:lpwstr>70301/144.a</vt:lpwstr>
  </property>
  <property fmtid="{D5CDD505-2E9C-101B-9397-08002B2CF9AE}" pid="11" name="LAWLISTTMP2">
    <vt:lpwstr>90721</vt:lpwstr>
  </property>
  <property fmtid="{D5CDD505-2E9C-101B-9397-08002B2CF9AE}" pid="12" name="LAWYER">
    <vt:lpwstr>גלית טגרט;מחאג'נה</vt:lpwstr>
  </property>
  <property fmtid="{D5CDD505-2E9C-101B-9397-08002B2CF9AE}" pid="13" name="LINKK1">
    <vt:lpwstr/>
  </property>
  <property fmtid="{D5CDD505-2E9C-101B-9397-08002B2CF9AE}" pid="14" name="LINKK10">
    <vt:lpwstr/>
  </property>
  <property fmtid="{D5CDD505-2E9C-101B-9397-08002B2CF9AE}" pid="15" name="LINKK11">
    <vt:lpwstr/>
  </property>
  <property fmtid="{D5CDD505-2E9C-101B-9397-08002B2CF9AE}" pid="16" name="LINKK12">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LINKK6">
    <vt:lpwstr/>
  </property>
  <property fmtid="{D5CDD505-2E9C-101B-9397-08002B2CF9AE}" pid="22" name="LINKK7">
    <vt:lpwstr/>
  </property>
  <property fmtid="{D5CDD505-2E9C-101B-9397-08002B2CF9AE}" pid="23" name="LINKK8">
    <vt:lpwstr/>
  </property>
  <property fmtid="{D5CDD505-2E9C-101B-9397-08002B2CF9AE}" pid="24" name="LINKK9">
    <vt:lpwstr/>
  </property>
  <property fmtid="{D5CDD505-2E9C-101B-9397-08002B2CF9AE}" pid="25" name="NEWPARTA">
    <vt:lpwstr>1158</vt:lpwstr>
  </property>
  <property fmtid="{D5CDD505-2E9C-101B-9397-08002B2CF9AE}" pid="26" name="NEWPARTB">
    <vt:lpwstr/>
  </property>
  <property fmtid="{D5CDD505-2E9C-101B-9397-08002B2CF9AE}" pid="27" name="NEWPARTC">
    <vt:lpwstr>08</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1158</vt:lpwstr>
  </property>
  <property fmtid="{D5CDD505-2E9C-101B-9397-08002B2CF9AE}" pid="34" name="PROCYEAR">
    <vt:lpwstr>08</vt:lpwstr>
  </property>
  <property fmtid="{D5CDD505-2E9C-101B-9397-08002B2CF9AE}" pid="35" name="PSAKDIN">
    <vt:lpwstr>גזר-דין</vt:lpwstr>
  </property>
  <property fmtid="{D5CDD505-2E9C-101B-9397-08002B2CF9AE}" pid="36" name="TYPE">
    <vt:lpwstr>3</vt:lpwstr>
  </property>
  <property fmtid="{D5CDD505-2E9C-101B-9397-08002B2CF9AE}" pid="37" name="TYPE_ABS_DATE">
    <vt:lpwstr>380020090714</vt:lpwstr>
  </property>
  <property fmtid="{D5CDD505-2E9C-101B-9397-08002B2CF9AE}" pid="38" name="TYPE_N_DATE">
    <vt:lpwstr>38020090714</vt:lpwstr>
  </property>
  <property fmtid="{D5CDD505-2E9C-101B-9397-08002B2CF9AE}" pid="39" name="VOLUME">
    <vt:lpwstr/>
  </property>
  <property fmtid="{D5CDD505-2E9C-101B-9397-08002B2CF9AE}" pid="40" name="WORDNUMPAGES">
    <vt:lpwstr>4</vt:lpwstr>
  </property>
</Properties>
</file>