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2"/>
          <w:szCs w:val="22"/>
        </w:rPr>
      </w:pPr>
      <w:r>
        <w:rPr>
          <w:sz w:val="22"/>
          <w:szCs w:val="22"/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2"/>
        </w:rPr>
      </w:pPr>
      <w:r>
        <w:rPr>
          <w:rFonts w:cs="FrankRuehl" w:ascii="FrankRuehl" w:hAnsi="FrankRuehl"/>
          <w:sz w:val="24"/>
          <w:szCs w:val="2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</w:rPr>
          <w:t>71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FrankRuehl" w:hAnsi="FrankRuehl" w:cs="FrankRuehl"/>
          <w:sz w:val="22"/>
          <w:szCs w:val="22"/>
        </w:rPr>
      </w:pPr>
      <w:r>
        <w:rPr>
          <w:rFonts w:cs="FrankRuehl" w:ascii="FrankRuehl" w:hAnsi="FrankRuehl"/>
          <w:sz w:val="22"/>
          <w:szCs w:val="22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spacing w:lineRule="auto" w:line="240"/>
        <w:ind w:end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spacing w:lineRule="auto" w:line="240"/>
        <w:ind w:end="0"/>
        <w:jc w:val="center"/>
        <w:rPr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1106"/>
        <w:gridCol w:w="198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חדרה</w:t>
            </w:r>
          </w:p>
        </w:tc>
        <w:tc>
          <w:tcPr>
            <w:tcW w:w="30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001363/05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30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6"/>
                <w:szCs w:val="22"/>
              </w:rPr>
            </w:pPr>
            <w:r>
              <w:rPr>
                <w:b/>
                <w:bCs/>
                <w:sz w:val="36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4" w:name="LastJudge"/>
            <w:bookmarkEnd w:id="4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סברי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מוחסן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נשיא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12/09/2005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704" w:type="dxa"/>
        <w:jc w:val="start"/>
        <w:tblInd w:w="15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30"/>
        <w:gridCol w:w="1757"/>
        <w:gridCol w:w="3544"/>
        <w:gridCol w:w="2041"/>
      </w:tblGrid>
      <w:tr>
        <w:trPr/>
        <w:tc>
          <w:tcPr>
            <w:tcW w:w="1362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5" w:name="FirstAppellant"/>
            <w:bookmarkStart w:id="6" w:name="שם_א"/>
            <w:bookmarkEnd w:id="5"/>
            <w:bookmarkEnd w:id="6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0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3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54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1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20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1362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קנדינר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יבגני</w:t>
            </w:r>
          </w:p>
        </w:tc>
        <w:tc>
          <w:tcPr>
            <w:tcW w:w="20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54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1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9" w:name="FirstLawyer"/>
            <w:bookmarkEnd w:id="9"/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372" w:type="dxa"/>
            <w:gridSpan w:val="4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טגרט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אחטר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ציבורי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bookmarkStart w:id="10" w:name="סוג_מסמך"/>
      <w:bookmarkEnd w:id="10"/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דין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פק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bookmarkStart w:id="11" w:name="ABSTRACT_START"/>
      <w:bookmarkEnd w:id="11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</w:t>
      </w:r>
      <w:r>
        <w:rPr>
          <w:rtl w:val="true"/>
        </w:rPr>
        <w:t xml:space="preserve">'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bookmarkStart w:id="12" w:name="ABSTRACT_END"/>
      <w:bookmarkEnd w:id="12"/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10.4.05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ממאפיניו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תשקל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tl w:val="true"/>
        </w:rPr>
        <w:t xml:space="preserve">. </w:t>
      </w:r>
      <w:r>
        <w:rPr>
          <w:rtl w:val="true"/>
        </w:rPr>
        <w:t>מבדיקות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tl w:val="true"/>
        </w:rPr>
        <w:t xml:space="preserve">, </w:t>
      </w:r>
      <w:r>
        <w:rPr>
          <w:rtl w:val="true"/>
        </w:rPr>
        <w:t>והסבירות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יתגייס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שמצליח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2083/96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כתב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BodyTextIndent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הימנעות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בשיקולי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Fonts w:cs="David"/>
          <w:rtl w:val="true"/>
        </w:rPr>
        <w:t>". (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342</w:t>
      </w:r>
      <w:r>
        <w:rPr>
          <w:rFonts w:cs="David"/>
          <w:rtl w:val="true"/>
        </w:rPr>
        <w:t>).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440" w:end="0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>'.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440"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  <w:t>"</w:t>
      </w:r>
      <w:r>
        <w:rPr>
          <w:b/>
          <w:b/>
          <w:bCs/>
          <w:szCs w:val="20"/>
          <w:rtl w:val="true"/>
        </w:rPr>
        <w:t>מהותה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של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העבירה</w:t>
      </w:r>
      <w:r>
        <w:rPr>
          <w:b/>
          <w:bCs/>
          <w:szCs w:val="20"/>
          <w:rtl w:val="true"/>
        </w:rPr>
        <w:t xml:space="preserve">, </w:t>
      </w:r>
      <w:r>
        <w:rPr>
          <w:b/>
          <w:b/>
          <w:bCs/>
          <w:szCs w:val="20"/>
          <w:rtl w:val="true"/>
        </w:rPr>
        <w:t>הצורך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בהרתעת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הרבים</w:t>
      </w:r>
      <w:r>
        <w:rPr>
          <w:b/>
          <w:bCs/>
          <w:szCs w:val="20"/>
          <w:rtl w:val="true"/>
        </w:rPr>
        <w:t xml:space="preserve">, </w:t>
      </w:r>
      <w:r>
        <w:rPr>
          <w:b/>
          <w:b/>
          <w:bCs/>
          <w:szCs w:val="20"/>
          <w:rtl w:val="true"/>
        </w:rPr>
        <w:t>ובעבירות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שקורבנן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אינו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הפרט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אלא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הציבור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כולו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אף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הוקעת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מעשי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העבירה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–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בצירוף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מדיניות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ענישה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אחידה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ככל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האפשר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על</w:t>
      </w:r>
      <w:r>
        <w:rPr>
          <w:b/>
          <w:bCs/>
          <w:szCs w:val="20"/>
          <w:rtl w:val="true"/>
        </w:rPr>
        <w:t>-</w:t>
      </w:r>
      <w:r>
        <w:rPr>
          <w:b/>
          <w:b/>
          <w:bCs/>
          <w:szCs w:val="20"/>
          <w:rtl w:val="true"/>
        </w:rPr>
        <w:t>יסוד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שיקולים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אלה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–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כל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אלה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משמשים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כגורמים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העלולים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לגבור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אף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על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שיקומו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של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הנאשם</w:t>
      </w:r>
      <w:r>
        <w:rPr>
          <w:b/>
          <w:bCs/>
          <w:szCs w:val="20"/>
          <w:rtl w:val="true"/>
        </w:rPr>
        <w:t>."</w:t>
      </w:r>
    </w:p>
    <w:p>
      <w:pPr>
        <w:pStyle w:val="Normal"/>
        <w:ind w:start="1440"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לשכוח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ממדרגה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ולהשתלב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3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וההשפעה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שתגרום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ובמיוחד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תמנע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גיוסו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ייפגע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דימויו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העצמי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ולזכות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נשכר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למעגל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הנורמליים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והתקינים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3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השתכנעתי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firstLine="360" w:end="0"/>
        <w:jc w:val="both"/>
        <w:rPr>
          <w:b/>
          <w:bCs/>
          <w:u w:val="single"/>
        </w:rPr>
      </w:pPr>
      <w:bookmarkStart w:id="13" w:name="Decision1"/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>.</w:t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Style9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סברי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מוחסן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  <w:p>
            <w:pPr>
              <w:pStyle w:val="Heading7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ביטון</w:t>
      </w:r>
      <w:r>
        <w:rPr>
          <w:rFonts w:cs="Times New Roman"/>
          <w:sz w:val="24"/>
          <w:sz w:val="24"/>
          <w:rtl w:val="true"/>
        </w:rPr>
        <w:t xml:space="preserve"> </w:t>
      </w:r>
      <w:bookmarkEnd w:id="13"/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/Users/liorb/Downloads/study2025-p2/s05001363-269.doc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1363/05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קנדינר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יבגני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center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240"/>
      <w:ind w:hanging="0" w:start="1440" w:end="0"/>
      <w:jc w:val="start"/>
    </w:pPr>
    <w:rPr>
      <w:rFonts w:cs="Times New Roman"/>
      <w:b/>
      <w:bCs/>
      <w:szCs w:val="20"/>
    </w:rPr>
  </w:style>
  <w:style w:type="paragraph" w:styleId="BodyTextIndent3">
    <w:name w:val="Body Text Indent 3"/>
    <w:basedOn w:val="Normal"/>
    <w:qFormat/>
    <w:pPr>
      <w:ind w:hanging="0" w:start="1080" w:end="0"/>
      <w:jc w:val="start"/>
    </w:pPr>
    <w:rPr>
      <w:rFonts w:cs="Times New Roman"/>
      <w:szCs w:val="20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71a.b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71a.b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5810781" TargetMode="External"/><Relationship Id="rId13" Type="http://schemas.openxmlformats.org/officeDocument/2006/relationships/hyperlink" Target="http://www.nevo.co.il/law/70301/71a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2017-03-22T11:49:00Z</dcterms:created>
  <dc:creator> </dc:creator>
  <dc:description/>
  <cp:keywords/>
  <dc:language>en-IL</dc:language>
  <cp:lastModifiedBy>Tali-a</cp:lastModifiedBy>
  <dcterms:modified xsi:type="dcterms:W3CDTF">2017-03-22T11:49:00Z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קנדינר יבגני</vt:lpwstr>
  </property>
  <property fmtid="{D5CDD505-2E9C-101B-9397-08002B2CF9AE}" pid="4" name="CASESLISTTMP1">
    <vt:lpwstr>5810781</vt:lpwstr>
  </property>
  <property fmtid="{D5CDD505-2E9C-101B-9397-08002B2CF9AE}" pid="5" name="CITY">
    <vt:lpwstr>חד'</vt:lpwstr>
  </property>
  <property fmtid="{D5CDD505-2E9C-101B-9397-08002B2CF9AE}" pid="6" name="DATE">
    <vt:lpwstr>20050912</vt:lpwstr>
  </property>
  <property fmtid="{D5CDD505-2E9C-101B-9397-08002B2CF9AE}" pid="7" name="ISABSTRACT">
    <vt:lpwstr>Y</vt:lpwstr>
  </property>
  <property fmtid="{D5CDD505-2E9C-101B-9397-08002B2CF9AE}" pid="8" name="JUDGE">
    <vt:lpwstr>סברי מוחסן</vt:lpwstr>
  </property>
  <property fmtid="{D5CDD505-2E9C-101B-9397-08002B2CF9AE}" pid="9" name="LAWLISTTMP1">
    <vt:lpwstr>4216/013:3</vt:lpwstr>
  </property>
  <property fmtid="{D5CDD505-2E9C-101B-9397-08002B2CF9AE}" pid="10" name="LAWLISTTMP2">
    <vt:lpwstr>70301/071a.b:3</vt:lpwstr>
  </property>
  <property fmtid="{D5CDD505-2E9C-101B-9397-08002B2CF9AE}" pid="11" name="LAWYER">
    <vt:lpwstr>טגרט;אחטר ס. ציבורי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1363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