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both"/>
        <w:rPr>
          <w:sz w:val="22"/>
          <w:szCs w:val="22"/>
        </w:rPr>
      </w:pPr>
      <w:bookmarkStart w:id="0" w:name="LastJudge"/>
      <w:bookmarkEnd w:id="0"/>
      <w:r>
        <w:rPr>
          <w:rFonts w:cs="Times New Roman"/>
          <w:b/>
          <w:bCs/>
          <w:sz w:val="22"/>
          <w:szCs w:val="22"/>
          <w:rtl w:val="true"/>
        </w:rPr>
        <w:t xml:space="preserve">                                                                                  </w:t>
      </w:r>
      <w:r>
        <w:rPr>
          <w:b/>
          <w:b/>
          <w:bCs/>
          <w:sz w:val="22"/>
          <w:sz w:val="22"/>
          <w:szCs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cs="Guttman Calligraphic"/>
                <w:b/>
                <w:bCs/>
                <w:sz w:val="32"/>
                <w:szCs w:val="32"/>
              </w:rPr>
            </w:pPr>
            <w:r>
              <w:rPr>
                <w:rFonts w:cs="Guttman Calligraphic"/>
                <w:b/>
                <w:b/>
                <w:bCs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Guttman Calligraphic"/>
                <w:b/>
                <w:b/>
                <w:bCs/>
                <w:sz w:val="32"/>
                <w:sz w:val="32"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Guttman Calligraphic"/>
                <w:b/>
                <w:b/>
                <w:bCs/>
                <w:sz w:val="32"/>
                <w:sz w:val="32"/>
                <w:szCs w:val="32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Guttman Calligraphic"/>
                <w:b/>
                <w:b/>
                <w:bCs/>
                <w:sz w:val="32"/>
                <w:sz w:val="32"/>
                <w:szCs w:val="32"/>
                <w:rtl w:val="true"/>
              </w:rPr>
              <w:t>חדרה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002239/05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>
                <w:rFonts w:cs="Guttman Calligraphic"/>
                <w:sz w:val="26"/>
                <w:szCs w:val="26"/>
              </w:rPr>
            </w:pPr>
            <w:r>
              <w:rPr>
                <w:rFonts w:cs="Guttman Calligraphic"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Guttman Calligraphic"/>
                <w:sz w:val="26"/>
                <w:szCs w:val="26"/>
                <w:rtl w:val="true"/>
              </w:rPr>
              <w:t xml:space="preserve">' </w:t>
            </w:r>
            <w:r>
              <w:rPr>
                <w:rFonts w:cs="Guttman Calligraphic"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Guttman Calligraphic"/>
                <w:sz w:val="26"/>
                <w:sz w:val="26"/>
                <w:szCs w:val="26"/>
                <w:rtl w:val="true"/>
              </w:rPr>
              <w:t>משה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Guttman Calligraphic"/>
                <w:sz w:val="26"/>
                <w:sz w:val="26"/>
                <w:szCs w:val="26"/>
                <w:rtl w:val="true"/>
              </w:rPr>
              <w:t>גינות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13/11/2007</w:t>
            </w:r>
          </w:p>
        </w:tc>
      </w:tr>
    </w:tbl>
    <w:p>
      <w:pPr>
        <w:pStyle w:val="Heading1"/>
        <w:ind w:end="0"/>
        <w:jc w:val="center"/>
        <w:rPr>
          <w:rFonts w:cs="Guttman Calligraphic"/>
          <w:sz w:val="28"/>
          <w:szCs w:val="28"/>
          <w:u w:val="none"/>
        </w:rPr>
      </w:pPr>
      <w:r>
        <w:rPr>
          <w:rFonts w:cs="Guttman Calligraphic"/>
          <w:sz w:val="28"/>
          <w:szCs w:val="28"/>
          <w:u w:val="none"/>
          <w:rtl w:val="true"/>
        </w:rPr>
      </w:r>
    </w:p>
    <w:tbl>
      <w:tblPr>
        <w:bidiVisual w:val="true"/>
        <w:tblW w:w="8647" w:type="dxa"/>
        <w:jc w:val="start"/>
        <w:tblInd w:w="10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9"/>
        <w:gridCol w:w="1332"/>
        <w:gridCol w:w="1"/>
        <w:gridCol w:w="1757"/>
        <w:gridCol w:w="3063"/>
        <w:gridCol w:w="2409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Heading3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Heading5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  <w:t xml:space="preserve">-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Cs/>
                <w:sz w:val="32"/>
                <w:szCs w:val="32"/>
                <w:rtl w:val="true"/>
              </w:rPr>
              <w:t>-</w:t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סעיד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Heading6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  <w:tr>
        <w:trPr/>
        <w:tc>
          <w:tcPr>
            <w:tcW w:w="85" w:type="dxa"/>
            <w:gridSpan w:val="2"/>
            <w:tcBorders/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rtl w:val="true"/>
              </w:rPr>
            </w:r>
          </w:p>
        </w:tc>
        <w:tc>
          <w:tcPr>
            <w:tcW w:w="1332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bookmarkStart w:id="5" w:name="FirstLawyer"/>
            <w:bookmarkEnd w:id="5"/>
            <w:r>
              <w:rPr>
                <w:b/>
                <w:b/>
                <w:bCs/>
                <w:szCs w:val="26"/>
                <w:rtl w:val="true"/>
              </w:rPr>
              <w:t>נוכחים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7230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דורית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פרנק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בעצמו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מייס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בויראת</w:t>
            </w:r>
          </w:p>
        </w:tc>
      </w:tr>
    </w:tbl>
    <w:p>
      <w:pPr>
        <w:pStyle w:val="Heading1"/>
        <w:ind w:end="0"/>
        <w:jc w:val="center"/>
        <w:rPr>
          <w:rFonts w:cs="Guttman Calligraphic"/>
          <w:b w:val="false"/>
          <w:bCs w:val="false"/>
          <w:sz w:val="28"/>
          <w:szCs w:val="28"/>
          <w:u w:val="none"/>
        </w:rPr>
      </w:pPr>
      <w:r>
        <w:rPr>
          <w:rFonts w:cs="Guttman Calligraphic"/>
          <w:b w:val="false"/>
          <w:bCs w:val="false"/>
          <w:sz w:val="28"/>
          <w:szCs w:val="28"/>
          <w:u w:val="none"/>
          <w:rtl w:val="true"/>
        </w:rPr>
      </w:r>
      <w:bookmarkStart w:id="6" w:name="LawTable"/>
      <w:bookmarkStart w:id="7" w:name="LawTable"/>
      <w:bookmarkEnd w:id="7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51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ט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'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244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245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Guttman Calligraphic"/>
          <w:b w:val="false"/>
          <w:bCs w:val="false"/>
          <w:sz w:val="28"/>
          <w:szCs w:val="28"/>
          <w:u w:val="none"/>
        </w:rPr>
      </w:pPr>
      <w:r>
        <w:rPr>
          <w:rFonts w:cs="Guttman Calligraphic" w:ascii="FrankRuehl" w:hAnsi="FrankRuehl"/>
          <w:b w:val="false"/>
          <w:bCs w:val="false"/>
          <w:sz w:val="28"/>
          <w:szCs w:val="28"/>
          <w:u w:val="none"/>
          <w:rtl w:val="true"/>
        </w:rPr>
      </w:r>
      <w:bookmarkStart w:id="8" w:name="LawTable_End"/>
      <w:bookmarkStart w:id="9" w:name="LawTable_End"/>
      <w:bookmarkEnd w:id="9"/>
    </w:p>
    <w:p>
      <w:pPr>
        <w:pStyle w:val="Heading1"/>
        <w:ind w:end="0"/>
        <w:jc w:val="center"/>
        <w:rPr>
          <w:rFonts w:cs="Guttman Calligraphic"/>
          <w:b w:val="false"/>
          <w:bCs w:val="false"/>
          <w:sz w:val="28"/>
          <w:szCs w:val="28"/>
          <w:u w:val="none"/>
        </w:rPr>
      </w:pPr>
      <w:r>
        <w:rPr>
          <w:rFonts w:cs="Guttman Calligraphic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rFonts w:cs="Guttman Calligraphic"/>
          <w:b w:val="false"/>
          <w:bCs w:val="false"/>
          <w:sz w:val="28"/>
          <w:szCs w:val="28"/>
          <w:u w:val="none"/>
        </w:rPr>
      </w:pPr>
      <w:r>
        <w:rPr>
          <w:rFonts w:cs="Guttman Calligraphic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rFonts w:cs="Guttman Calligraphic"/>
          <w:b w:val="false"/>
          <w:bCs w:val="false"/>
          <w:sz w:val="28"/>
          <w:szCs w:val="28"/>
          <w:u w:val="none"/>
        </w:rPr>
      </w:pPr>
      <w:r>
        <w:rPr>
          <w:rFonts w:cs="Guttman Calligraphic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rFonts w:cs="Guttman Calligraphic"/>
          <w:b w:val="false"/>
          <w:bCs w:val="false"/>
          <w:sz w:val="28"/>
          <w:szCs w:val="28"/>
          <w:u w:val="none"/>
        </w:rPr>
      </w:pPr>
      <w:r>
        <w:rPr>
          <w:rFonts w:cs="Guttman Calligraphic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rFonts w:cs="Guttman Calligraphic"/>
          <w:sz w:val="28"/>
          <w:szCs w:val="28"/>
          <w:u w:val="none"/>
        </w:rPr>
      </w:pPr>
      <w:r>
        <w:rPr>
          <w:rFonts w:cs="Guttman Calligraphic"/>
          <w:sz w:val="28"/>
          <w:szCs w:val="28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10" w:name="LastJudge"/>
      <w:bookmarkStart w:id="11" w:name="PsakDin"/>
      <w:bookmarkEnd w:id="10"/>
      <w:bookmarkEnd w:id="11"/>
      <w:r>
        <w:rPr>
          <w:rFonts w:cs="Guttman Calligraphic"/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Guttman Calligraphic"/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rFonts w:cs="Guttman Calligraphic"/>
          <w:b/>
          <w:bCs/>
          <w:sz w:val="28"/>
          <w:szCs w:val="28"/>
          <w:u w:val="single"/>
        </w:rPr>
      </w:pPr>
      <w:r>
        <w:rPr>
          <w:rFonts w:cs="Guttman Calligraphic"/>
          <w:b/>
          <w:bCs/>
          <w:sz w:val="28"/>
          <w:szCs w:val="28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4" w:name="ABSTRACT_START"/>
      <w:bookmarkEnd w:id="1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245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bookmarkStart w:id="15" w:name="ABSTRACT_END"/>
      <w:bookmarkEnd w:id="15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מסרי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19/6/04</w:t>
      </w:r>
      <w:r>
        <w:rPr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נגדם</w:t>
      </w:r>
      <w:r>
        <w:rPr>
          <w:rtl w:val="true"/>
        </w:rPr>
        <w:t xml:space="preserve">,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ולשחררו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ולשכנעה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שיקרית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תסקיר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ליתומים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סוציואוקונומי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מסתבר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ובינו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מוצלח</w:t>
      </w:r>
      <w:r>
        <w:rPr>
          <w:rtl w:val="true"/>
        </w:rPr>
        <w:t xml:space="preserve">,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תוצאותיו</w:t>
      </w:r>
      <w:r>
        <w:rPr>
          <w:rtl w:val="true"/>
        </w:rPr>
        <w:t xml:space="preserve">,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rtl w:val="true"/>
          </w:rPr>
          <w:t>תיק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פלילי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2135/05</w:t>
        </w:r>
      </w:hyperlink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מוצלח</w:t>
      </w:r>
      <w:r>
        <w:rPr>
          <w:rtl w:val="true"/>
        </w:rPr>
        <w:t xml:space="preserve">,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מנשה</w:t>
      </w:r>
      <w:r>
        <w:rPr>
          <w:rtl w:val="true"/>
        </w:rPr>
        <w:t xml:space="preserve">" </w:t>
      </w:r>
      <w:r>
        <w:rPr>
          <w:rtl w:val="true"/>
        </w:rPr>
        <w:t>בשער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מנשה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חפר</w:t>
      </w:r>
      <w:r>
        <w:rPr>
          <w:rtl w:val="true"/>
        </w:rPr>
        <w:t xml:space="preserve">, </w:t>
      </w:r>
      <w:r>
        <w:rPr>
          <w:rtl w:val="true"/>
        </w:rPr>
        <w:t>חדרה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14:00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פרג</w:t>
      </w:r>
      <w:r>
        <w:rPr>
          <w:rtl w:val="true"/>
        </w:rPr>
        <w:t xml:space="preserve">' </w:t>
      </w:r>
      <w:r>
        <w:rPr>
          <w:rtl w:val="true"/>
        </w:rPr>
        <w:t>מוטי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1/1/08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08:30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לקבוצה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bookmarkStart w:id="16" w:name="Hachlata4"/>
      <w:bookmarkStart w:id="17" w:name="Hachlata3"/>
      <w:bookmarkStart w:id="18" w:name="Hachlata2"/>
      <w:bookmarkEnd w:id="16"/>
      <w:bookmarkEnd w:id="17"/>
      <w:bookmarkEnd w:id="18"/>
      <w:r>
        <w:rPr>
          <w:rtl w:val="true"/>
        </w:rPr>
        <w:t>הסברתי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והזהרתיו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19" w:name="Hachlata4"/>
      <w:bookmarkStart w:id="20" w:name="Hachlata3"/>
      <w:bookmarkStart w:id="21" w:name="Hachlata2"/>
      <w:bookmarkStart w:id="22" w:name="Hachlata4"/>
      <w:bookmarkStart w:id="23" w:name="Hachlata3"/>
      <w:bookmarkStart w:id="24" w:name="Hachlata2"/>
      <w:bookmarkEnd w:id="22"/>
      <w:bookmarkEnd w:id="23"/>
      <w:bookmarkEnd w:id="24"/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 </w:t>
      </w:r>
      <w:r>
        <w:rPr/>
        <w:t>1,000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>.</w:t>
      </w:r>
    </w:p>
    <w:p>
      <w:pPr>
        <w:pStyle w:val="BodyText"/>
        <w:spacing w:lineRule="auto" w:line="360"/>
        <w:ind w:start="72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1/3/08</w:t>
      </w:r>
      <w:r>
        <w:rPr>
          <w:rtl w:val="true"/>
        </w:rPr>
        <w:t xml:space="preserve"> 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 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>
          <w:u w:val="single"/>
        </w:rPr>
      </w:pPr>
      <w:r>
        <w:rPr>
          <w:u w:val="single"/>
          <w:rtl w:val="true"/>
        </w:rPr>
        <w:t>(</w:t>
      </w:r>
      <w:r>
        <w:rPr>
          <w:u w:val="single"/>
          <w:rtl w:val="true"/>
        </w:rPr>
        <w:t>אי</w:t>
      </w:r>
      <w:r>
        <w:rPr>
          <w:rFonts w:cs="Times New Roman"/>
          <w:u w:val="single"/>
          <w:rtl w:val="true"/>
        </w:rPr>
        <w:t xml:space="preserve">  </w:t>
      </w:r>
      <w:r>
        <w:rPr>
          <w:u w:val="single"/>
          <w:rtl w:val="true"/>
        </w:rPr>
        <w:t>עמידה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באחד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התשלומים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במועדו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תעמיד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יתרת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לתשלום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מיידי</w:t>
      </w:r>
      <w:r>
        <w:rPr>
          <w:u w:val="single"/>
          <w:rtl w:val="true"/>
        </w:rPr>
        <w:t>).</w:t>
      </w:r>
    </w:p>
    <w:p>
      <w:pPr>
        <w:pStyle w:val="Normal"/>
        <w:ind w:end="0"/>
        <w:jc w:val="both"/>
        <w:rPr>
          <w:color w:val="FFFFFF"/>
          <w:sz w:val="2"/>
          <w:szCs w:val="2"/>
          <w:u w:val="single"/>
        </w:rPr>
      </w:pPr>
      <w:r>
        <w:rPr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תעביר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עותקים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והוסברה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משה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גינות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54678313-2239/05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251" w:type="dxa"/>
        <w:jc w:val="start"/>
        <w:tblInd w:w="617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51"/>
      </w:tblGrid>
      <w:tr>
        <w:trPr>
          <w:trHeight w:val="269" w:hRule="atLeast"/>
        </w:trPr>
        <w:tc>
          <w:tcPr>
            <w:tcW w:w="22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ניתנה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בנובמבר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2007</w:t>
            </w:r>
            <w:r>
              <w:rPr>
                <w:b/>
                <w:bCs/>
                <w:rtl w:val="true"/>
              </w:rPr>
              <w:t xml:space="preserve"> (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בכסלו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תשס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הנוכחים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גינות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rtl w:val="true"/>
        </w:rPr>
        <w:t>ורדה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/Users/liorb/Downloads/study2025-p2/s05002239-145.doc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2239/05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יוסף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סעיד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40"/>
      <w:ind w:hanging="0" w:start="0" w:end="0"/>
      <w:jc w:val="start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51i" TargetMode="External"/><Relationship Id="rId4" Type="http://schemas.openxmlformats.org/officeDocument/2006/relationships/hyperlink" Target="http://www.nevo.co.il/law/70301/244" TargetMode="External"/><Relationship Id="rId5" Type="http://schemas.openxmlformats.org/officeDocument/2006/relationships/hyperlink" Target="http://www.nevo.co.il/law/70301/245.a" TargetMode="External"/><Relationship Id="rId6" Type="http://schemas.openxmlformats.org/officeDocument/2006/relationships/hyperlink" Target="http://www.nevo.co.il/law/70301/245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case/1381609" TargetMode="External"/><Relationship Id="rId10" Type="http://schemas.openxmlformats.org/officeDocument/2006/relationships/hyperlink" Target="http://www.nevo.co.il/law/70301/51i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2016-10-27T15:40:00Z</dcterms:created>
  <dc:creator> </dc:creator>
  <dc:description/>
  <cp:keywords/>
  <dc:language>en-IL</dc:language>
  <cp:lastModifiedBy>hofit</cp:lastModifiedBy>
  <cp:lastPrinted>2003-09-25T12:06:00Z</cp:lastPrinted>
  <dcterms:modified xsi:type="dcterms:W3CDTF">2016-10-27T15:40:00Z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יוסף בן אחמד סעיד</vt:lpwstr>
  </property>
  <property fmtid="{D5CDD505-2E9C-101B-9397-08002B2CF9AE}" pid="4" name="CASESLISTTMP1">
    <vt:lpwstr>1381609</vt:lpwstr>
  </property>
  <property fmtid="{D5CDD505-2E9C-101B-9397-08002B2CF9AE}" pid="5" name="CITY">
    <vt:lpwstr>חד'</vt:lpwstr>
  </property>
  <property fmtid="{D5CDD505-2E9C-101B-9397-08002B2CF9AE}" pid="6" name="DATE">
    <vt:lpwstr>20071113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משה גינות</vt:lpwstr>
  </property>
  <property fmtid="{D5CDD505-2E9C-101B-9397-08002B2CF9AE}" pid="10" name="LAWLISTTMP1">
    <vt:lpwstr>70301/245.a;244;051i</vt:lpwstr>
  </property>
  <property fmtid="{D5CDD505-2E9C-101B-9397-08002B2CF9AE}" pid="11" name="LAWYER">
    <vt:lpwstr>דורית לוי פרנק;מייס בויראת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2239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