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3"/>
        <w:gridCol w:w="680"/>
        <w:gridCol w:w="2233"/>
      </w:tblGrid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מחוזי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חיפה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szCs w:val="22"/>
                <w:rtl w:val="true"/>
              </w:rPr>
              <w:t>.</w:t>
            </w:r>
            <w:r>
              <w:rPr>
                <w:szCs w:val="22"/>
                <w:rtl w:val="true"/>
              </w:rPr>
              <w:t>ח</w:t>
            </w:r>
            <w:r>
              <w:rPr>
                <w:szCs w:val="22"/>
                <w:rtl w:val="true"/>
              </w:rPr>
              <w:t xml:space="preserve">. </w:t>
            </w:r>
            <w:r>
              <w:rPr>
                <w:szCs w:val="22"/>
              </w:rPr>
              <w:t>001010/04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</w:p>
        </w:tc>
        <w:tc>
          <w:tcPr>
            <w:tcW w:w="49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הרכב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השופטים</w:t>
            </w:r>
            <w:r>
              <w:rPr>
                <w:b/>
                <w:bCs/>
                <w:sz w:val="24"/>
                <w:rtl w:val="true"/>
              </w:rPr>
              <w:t xml:space="preserve">: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ברלינר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אלרון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 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וילנר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</w:p>
        </w:tc>
        <w:tc>
          <w:tcPr>
            <w:tcW w:w="223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06/01/2005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Start w:id="2" w:name="שם_א"/>
            <w:bookmarkEnd w:id="1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בא_כוח_א"/>
            <w:bookmarkStart w:id="4" w:name="בא_כוח_א"/>
            <w:bookmarkEnd w:id="4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שם_ב"/>
            <w:bookmarkStart w:id="6" w:name="שם_ב"/>
            <w:bookmarkEnd w:id="6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שכטמן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סולומון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7" w:name="בא_כוח_ב"/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bidi w:val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b w:val="false"/>
          <w:bCs w:val="false"/>
          <w:color w:val="000000"/>
          <w:szCs w:val="26"/>
        </w:rPr>
      </w:pPr>
      <w:r>
        <w:rPr>
          <w:rFonts w:cs="FrankRuehl"/>
          <w:b w:val="false"/>
          <w:b w:val="false"/>
          <w:bCs w:val="false"/>
          <w:szCs w:val="26"/>
          <w:rtl w:val="true"/>
        </w:rPr>
        <w:t>לערעור</w:t>
      </w:r>
      <w:r>
        <w:rPr>
          <w:rFonts w:cs="Times New Roman"/>
          <w:b w:val="false"/>
          <w:b w:val="false"/>
          <w:bCs w:val="false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szCs w:val="26"/>
          <w:rtl w:val="true"/>
        </w:rPr>
        <w:t>בעליון</w:t>
      </w:r>
      <w:r>
        <w:rPr>
          <w:rFonts w:cs="Times New Roman"/>
          <w:b w:val="false"/>
          <w:b w:val="false"/>
          <w:bCs w:val="false"/>
          <w:szCs w:val="26"/>
          <w:rtl w:val="true"/>
        </w:rPr>
        <w:t xml:space="preserve"> </w:t>
      </w:r>
      <w:r>
        <w:rPr>
          <w:rFonts w:cs="FrankRuehl"/>
          <w:b w:val="false"/>
          <w:bCs w:val="false"/>
          <w:szCs w:val="26"/>
          <w:rtl w:val="true"/>
        </w:rPr>
        <w:t>(</w:t>
      </w:r>
      <w:r>
        <w:rPr>
          <w:rFonts w:cs="FrankRuehl"/>
          <w:b w:val="false"/>
          <w:b w:val="false"/>
          <w:bCs w:val="false"/>
          <w:szCs w:val="26"/>
          <w:rtl w:val="true"/>
        </w:rPr>
        <w:t>נדחה</w:t>
      </w:r>
      <w:r>
        <w:rPr>
          <w:rFonts w:cs="FrankRuehl"/>
          <w:b w:val="false"/>
          <w:bCs w:val="false"/>
          <w:szCs w:val="26"/>
          <w:rtl w:val="true"/>
        </w:rPr>
        <w:t xml:space="preserve">, </w:t>
      </w:r>
      <w:r>
        <w:rPr>
          <w:rFonts w:cs="FrankRuehl"/>
          <w:b w:val="false"/>
          <w:bCs w:val="false"/>
          <w:szCs w:val="26"/>
        </w:rPr>
        <w:t>26.10.05</w:t>
      </w:r>
      <w:r>
        <w:rPr>
          <w:rFonts w:cs="FrankRuehl"/>
          <w:b w:val="false"/>
          <w:bCs w:val="false"/>
          <w:szCs w:val="26"/>
          <w:rtl w:val="true"/>
        </w:rPr>
        <w:t xml:space="preserve">): </w:t>
      </w:r>
      <w:hyperlink r:id="rId2">
        <w:r>
          <w:rPr>
            <w:rStyle w:val="Hyperlink"/>
            <w:rFonts w:cs="FrankRuehl"/>
            <w:b/>
            <w:b/>
            <w:bCs/>
            <w:szCs w:val="26"/>
            <w:rtl w:val="true"/>
          </w:rPr>
          <w:t>עפ</w:t>
        </w:r>
        <w:r>
          <w:rPr>
            <w:rStyle w:val="Hyperlink"/>
            <w:rFonts w:cs="Times New Roman"/>
            <w:b/>
            <w:b/>
            <w:bCs/>
            <w:szCs w:val="26"/>
            <w:rtl w:val="true"/>
          </w:rPr>
          <w:t xml:space="preserve"> </w:t>
        </w:r>
        <w:r>
          <w:rPr>
            <w:rStyle w:val="Hyperlink"/>
            <w:rFonts w:cs="FrankRuehl"/>
            <w:b/>
            <w:bCs/>
            <w:szCs w:val="26"/>
          </w:rPr>
          <w:t>1597/05</w:t>
        </w:r>
      </w:hyperlink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מיכאל</w:t>
      </w:r>
      <w:r>
        <w:rPr>
          <w:rFonts w:cs="Times New Roman"/>
          <w:b w:val="false"/>
          <w:b w:val="false"/>
          <w:bCs w:val="false"/>
          <w:color w:val="000000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שכטמן</w:t>
      </w:r>
      <w:r>
        <w:rPr>
          <w:rFonts w:cs="Times New Roman"/>
          <w:b w:val="false"/>
          <w:b w:val="false"/>
          <w:bCs w:val="false"/>
          <w:color w:val="000000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נ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מדינת</w:t>
      </w:r>
      <w:r>
        <w:rPr>
          <w:rFonts w:cs="Times New Roman"/>
          <w:b w:val="false"/>
          <w:b w:val="false"/>
          <w:bCs w:val="false"/>
          <w:color w:val="000000"/>
          <w:szCs w:val="26"/>
          <w:rtl w:val="true"/>
        </w:rPr>
        <w:t xml:space="preserve">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ישראל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א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ברק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ד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ביניש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,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ס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 xml:space="preserve">' 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ג</w:t>
      </w:r>
      <w:r>
        <w:rPr>
          <w:rFonts w:cs="FrankRuehl"/>
          <w:b w:val="false"/>
          <w:bCs w:val="false"/>
          <w:color w:val="000000"/>
          <w:szCs w:val="26"/>
          <w:rtl w:val="true"/>
        </w:rPr>
        <w:t>'</w:t>
      </w: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וברא</w:t>
      </w:r>
      <w:bookmarkStart w:id="9" w:name="LawTable"/>
      <w:bookmarkEnd w:id="9"/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  <w:szCs w:val="26"/>
        </w:rPr>
      </w:pPr>
      <w:r>
        <w:rPr>
          <w:rFonts w:cs="FrankRuehl" w:ascii="FrankRuehl" w:hAnsi="FrankRuehl"/>
          <w:b w:val="false"/>
          <w:bCs w:val="false"/>
          <w:color w:val="000000"/>
          <w:sz w:val="24"/>
          <w:szCs w:val="26"/>
          <w:rtl w:val="true"/>
        </w:rPr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00"/>
          <w:sz w:val="24"/>
        </w:rPr>
      </w:pP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color w:val="000000"/>
          <w:sz w:val="24"/>
          <w:rtl w:val="true"/>
        </w:rPr>
        <w:t xml:space="preserve">: </w:t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b/>
            <w:bCs/>
            <w:sz w:val="24"/>
          </w:rPr>
          <w:t>29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/>
            <w:bCs/>
            <w:sz w:val="24"/>
          </w:rPr>
          <w:t>31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/>
            <w:bCs/>
            <w:sz w:val="24"/>
          </w:rPr>
          <w:t>32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/>
            <w:bCs/>
            <w:sz w:val="24"/>
          </w:rPr>
          <w:t>144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ג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.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3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/>
            <w:bCs/>
            <w:sz w:val="24"/>
          </w:rPr>
          <w:t>330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/>
            <w:bCs/>
            <w:sz w:val="24"/>
          </w:rPr>
          <w:t>452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/>
            <w:bCs/>
            <w:sz w:val="24"/>
          </w:rPr>
          <w:t>454</w:t>
        </w:r>
      </w:hyperlink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/>
            <w:bCs/>
            <w:sz w:val="24"/>
          </w:rPr>
          <w:t>499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)(</w:t>
        </w:r>
        <w:r>
          <w:rPr>
            <w:rStyle w:val="Hyperlink"/>
            <w:rFonts w:cs="FrankRuehl" w:ascii="FrankRuehl" w:hAnsi="FrankRuehl"/>
            <w:b/>
            <w:bCs/>
            <w:sz w:val="24"/>
          </w:rPr>
          <w:t>1</w:t>
        </w:r>
        <w:r>
          <w:rPr>
            <w:rStyle w:val="Hyperlink"/>
            <w:rFonts w:cs="FrankRuehl" w:ascii="FrankRuehl" w:hAnsi="FrankRuehl"/>
            <w:b/>
            <w:bCs/>
            <w:sz w:val="24"/>
            <w:rtl w:val="true"/>
          </w:rPr>
          <w:t>)</w:t>
        </w:r>
      </w:hyperlink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u w:val="singl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u w:val="single"/>
          <w:rtl w:val="true"/>
        </w:rPr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ascii="FrankRuehl" w:hAnsi="FrankRuehl" w:cs="FrankRuehl"/>
          <w:b w:val="false"/>
          <w:bCs w:val="false"/>
          <w:sz w:val="24"/>
          <w:szCs w:val="26"/>
        </w:rPr>
      </w:pPr>
      <w:r>
        <w:rPr>
          <w:rFonts w:cs="FrankRuehl" w:ascii="FrankRuehl" w:hAnsi="FrankRuehl"/>
          <w:b w:val="false"/>
          <w:bCs w:val="false"/>
          <w:sz w:val="24"/>
          <w:szCs w:val="26"/>
          <w:rtl w:val="true"/>
        </w:rPr>
      </w:r>
      <w:bookmarkStart w:id="10" w:name="LawTable_End"/>
      <w:bookmarkStart w:id="11" w:name="LawTable_End"/>
      <w:bookmarkEnd w:id="11"/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b w:val="false"/>
          <w:bCs w:val="false"/>
          <w:color w:val="000000"/>
          <w:szCs w:val="26"/>
        </w:rPr>
      </w:pPr>
      <w:r>
        <w:rPr>
          <w:rFonts w:cs="FrankRuehl"/>
          <w:b w:val="false"/>
          <w:bCs w:val="false"/>
          <w:color w:val="000000"/>
          <w:szCs w:val="26"/>
          <w:rtl w:val="true"/>
        </w:rPr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b w:val="false"/>
          <w:bCs w:val="false"/>
          <w:szCs w:val="26"/>
        </w:rPr>
      </w:pPr>
      <w:r>
        <w:rPr>
          <w:rFonts w:cs="FrankRuehl"/>
          <w:b w:val="false"/>
          <w:b w:val="false"/>
          <w:bCs w:val="false"/>
          <w:color w:val="000000"/>
          <w:szCs w:val="26"/>
          <w:rtl w:val="true"/>
        </w:rPr>
        <w:t>ן</w:t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b w:val="false"/>
          <w:bCs w:val="false"/>
          <w:color w:val="000000"/>
          <w:szCs w:val="26"/>
        </w:rPr>
      </w:pPr>
      <w:r>
        <w:rPr>
          <w:rFonts w:cs="FrankRuehl"/>
          <w:b w:val="false"/>
          <w:bCs w:val="false"/>
          <w:color w:val="000000"/>
          <w:szCs w:val="26"/>
          <w:rtl w:val="true"/>
        </w:rPr>
      </w:r>
    </w:p>
    <w:p>
      <w:pPr>
        <w:pStyle w:val="Style11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end="0"/>
        <w:jc w:val="both"/>
        <w:rPr>
          <w:rFonts w:cs="FrankRuehl"/>
          <w:b w:val="false"/>
          <w:bCs w:val="false"/>
          <w:color w:val="000000"/>
          <w:szCs w:val="26"/>
        </w:rPr>
      </w:pPr>
      <w:r>
        <w:rPr>
          <w:rFonts w:cs="FrankRuehl"/>
          <w:b w:val="false"/>
          <w:bCs w:val="false"/>
          <w:color w:val="000000"/>
          <w:szCs w:val="26"/>
          <w:rtl w:val="true"/>
        </w:rPr>
      </w:r>
    </w:p>
    <w:p>
      <w:pPr>
        <w:pStyle w:val="Style11"/>
        <w:ind w:end="0"/>
        <w:jc w:val="both"/>
        <w:rPr>
          <w:rFonts w:cs="FrankRuehl"/>
          <w:b w:val="false"/>
          <w:bCs w:val="false"/>
          <w:szCs w:val="26"/>
        </w:rPr>
      </w:pPr>
      <w:r>
        <w:rPr>
          <w:rFonts w:cs="FrankRuehl"/>
          <w:b w:val="false"/>
          <w:bCs w:val="false"/>
          <w:szCs w:val="26"/>
          <w:rtl w:val="true"/>
        </w:rPr>
      </w:r>
    </w:p>
    <w:p>
      <w:pPr>
        <w:pStyle w:val="Style11"/>
        <w:ind w:end="0"/>
        <w:jc w:val="both"/>
        <w:rPr>
          <w:rFonts w:cs="FrankRuehl"/>
          <w:b w:val="false"/>
          <w:bCs w:val="false"/>
          <w:szCs w:val="26"/>
        </w:rPr>
      </w:pPr>
      <w:r>
        <w:rPr>
          <w:rFonts w:cs="FrankRuehl"/>
          <w:b w:val="false"/>
          <w:bCs w:val="false"/>
          <w:szCs w:val="26"/>
          <w:rtl w:val="true"/>
        </w:rPr>
      </w:r>
    </w:p>
    <w:p>
      <w:pPr>
        <w:pStyle w:val="Style11"/>
        <w:ind w:end="0"/>
        <w:jc w:val="both"/>
        <w:rPr>
          <w:rFonts w:cs="FrankRuehl"/>
          <w:b w:val="false"/>
          <w:bCs w:val="false"/>
          <w:szCs w:val="26"/>
        </w:rPr>
      </w:pPr>
      <w:r>
        <w:rPr>
          <w:rFonts w:cs="FrankRuehl"/>
          <w:b w:val="false"/>
          <w:bCs w:val="false"/>
          <w:szCs w:val="26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PsakDin"/>
      <w:bookmarkStart w:id="13" w:name="סוג_מסמך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14" w:name="PsakDin"/>
      <w:bookmarkEnd w:id="1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17.10.03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חונדאשווילי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ברוך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גיאסיוב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וואדים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זבולון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>"</w:t>
      </w:r>
      <w:r>
        <w:rPr>
          <w:rtl w:val="true"/>
        </w:rPr>
        <w:t>).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</w:p>
    <w:p>
      <w:pPr>
        <w:pStyle w:val="Normal"/>
        <w:ind w:end="0"/>
        <w:jc w:val="both"/>
        <w:rPr/>
      </w:pP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הרימון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וואדים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20.00</w:t>
      </w:r>
      <w:r>
        <w:rPr>
          <w:rtl w:val="true"/>
        </w:rPr>
        <w:t xml:space="preserve">,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וואדים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שרון</w:t>
      </w:r>
      <w:r>
        <w:rPr>
          <w:b/>
          <w:bCs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ושניים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להובילם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לשרון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21.00</w:t>
      </w:r>
      <w:r>
        <w:rPr>
          <w:rtl w:val="true"/>
        </w:rPr>
        <w:t xml:space="preserve"> </w:t>
      </w:r>
      <w:r>
        <w:rPr>
          <w:rtl w:val="true"/>
        </w:rPr>
        <w:t>נזרקו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התפוצץ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הנשקיה</w:t>
      </w:r>
      <w:r>
        <w:rPr>
          <w:rtl w:val="true"/>
        </w:rPr>
        <w:t xml:space="preserve">. 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מפיצוץ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</w:t>
      </w:r>
      <w:r>
        <w:rPr>
          <w:rtl w:val="true"/>
        </w:rPr>
        <w:t>ניזוקו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בעבירות</w:t>
      </w:r>
      <w:r>
        <w:rPr>
          <w:rFonts w:cs="Times New Roman"/>
          <w:u w:val="single"/>
          <w:rtl w:val="true"/>
        </w:rPr>
        <w:t xml:space="preserve"> </w:t>
      </w:r>
      <w:hyperlink r:id="rId14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 xml:space="preserve"> + </w:t>
      </w:r>
      <w:hyperlink r:id="rId15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)+(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u w:val="single"/>
          <w:rtl w:val="true"/>
        </w:rPr>
        <w:t>+</w:t>
      </w:r>
      <w:hyperlink r:id="rId16">
        <w:r>
          <w:rPr>
            <w:rStyle w:val="Hyperlink"/>
          </w:rPr>
          <w:t>29</w:t>
        </w:r>
      </w:hyperlink>
      <w:r>
        <w:rPr>
          <w:u w:val="single"/>
          <w:rtl w:val="true"/>
        </w:rPr>
        <w:t xml:space="preserve">, </w:t>
      </w:r>
      <w:hyperlink r:id="rId17">
        <w:r>
          <w:rPr>
            <w:rStyle w:val="Hyperlink"/>
          </w:rPr>
          <w:t>330</w:t>
        </w:r>
      </w:hyperlink>
      <w:r>
        <w:rPr>
          <w:u w:val="single"/>
        </w:rPr>
        <w:t>+</w:t>
      </w:r>
      <w:hyperlink r:id="rId18">
        <w:r>
          <w:rPr>
            <w:rStyle w:val="Hyperlink"/>
          </w:rPr>
          <w:t>31</w:t>
        </w:r>
      </w:hyperlink>
      <w:r>
        <w:rPr>
          <w:u w:val="single"/>
        </w:rPr>
        <w:t>+</w:t>
      </w:r>
      <w:hyperlink r:id="rId19">
        <w:r>
          <w:rPr>
            <w:rStyle w:val="Hyperlink"/>
          </w:rPr>
          <w:t>32</w:t>
        </w:r>
      </w:hyperlink>
      <w:r>
        <w:rPr>
          <w:u w:val="single"/>
          <w:rtl w:val="true"/>
        </w:rPr>
        <w:t xml:space="preserve">, </w:t>
      </w:r>
      <w:hyperlink r:id="rId20">
        <w:r>
          <w:rPr>
            <w:rStyle w:val="Hyperlink"/>
          </w:rPr>
          <w:t>452</w:t>
        </w:r>
      </w:hyperlink>
      <w:r>
        <w:rPr>
          <w:u w:val="single"/>
        </w:rPr>
        <w:t>+</w:t>
      </w:r>
      <w:hyperlink r:id="rId21">
        <w:r>
          <w:rPr>
            <w:rStyle w:val="Hyperlink"/>
          </w:rPr>
          <w:t>454</w:t>
        </w:r>
      </w:hyperlink>
      <w:r>
        <w:rPr>
          <w:u w:val="single"/>
        </w:rPr>
        <w:t>+</w:t>
      </w:r>
      <w:hyperlink r:id="rId22">
        <w:r>
          <w:rPr>
            <w:rStyle w:val="Hyperlink"/>
          </w:rPr>
          <w:t>31</w:t>
        </w:r>
      </w:hyperlink>
      <w:r>
        <w:rPr>
          <w:u w:val="single"/>
        </w:rPr>
        <w:t>+</w:t>
      </w:r>
      <w:hyperlink r:id="rId23">
        <w:r>
          <w:rPr>
            <w:rStyle w:val="Hyperlink"/>
          </w:rPr>
          <w:t>32</w:t>
        </w:r>
      </w:hyperlink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תשל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ז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 xml:space="preserve">- </w:t>
      </w:r>
      <w:r>
        <w:rPr>
          <w:u w:val="single"/>
        </w:rPr>
        <w:t>1977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 xml:space="preserve">,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נעתרנו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03.11.04</w:t>
      </w:r>
      <w:r>
        <w:rPr>
          <w:rtl w:val="true"/>
        </w:rPr>
        <w:t xml:space="preserve">,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למבוגרים</w:t>
      </w:r>
      <w:r>
        <w:rPr>
          <w:rtl w:val="true"/>
        </w:rPr>
        <w:t xml:space="preserve">,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להוריו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1990</w:t>
      </w:r>
      <w:r>
        <w:rPr>
          <w:rtl w:val="true"/>
        </w:rPr>
        <w:t xml:space="preserve">,  </w:t>
      </w:r>
      <w:r>
        <w:rPr>
          <w:rtl w:val="true"/>
        </w:rPr>
        <w:t>ומיד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,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שוליים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1993</w:t>
      </w:r>
      <w:r>
        <w:rPr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b/>
          <w:bCs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כנופיית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להפחיד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השוטרים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במלחמתם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בפשע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כהגדרתה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לרישומיו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מקסימלית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 </w:t>
      </w:r>
      <w:r>
        <w:rPr>
          <w:rtl w:val="true"/>
        </w:rPr>
        <w:t>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והתביעתי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בפרשיה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>".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סמרטוט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שרוצים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והגדיר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היוצר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>).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bookmarkEnd w:id="13"/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tl w:val="true"/>
        </w:rPr>
        <w:t xml:space="preserve">, </w:t>
      </w:r>
      <w:r>
        <w:rPr>
          <w:rtl w:val="true"/>
        </w:rPr>
        <w:t>בגוזרנו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תעוזתם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בפשיעה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עניננו</w:t>
      </w:r>
      <w:r>
        <w:rPr>
          <w:rtl w:val="true"/>
        </w:rPr>
        <w:t xml:space="preserve">, </w:t>
      </w:r>
      <w:r>
        <w:rPr>
          <w:rtl w:val="true"/>
        </w:rPr>
        <w:t>בהתארגנות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שלטונית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זרוע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זלזול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הריבוניים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עירוני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ולמרבה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לרכבים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יתכן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החלשה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זריקת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>,</w:t>
      </w:r>
      <w:r>
        <w:rPr>
          <w:b/>
          <w:bCs/>
          <w:rtl w:val="true"/>
        </w:rPr>
        <w:t xml:space="preserve"> "</w:t>
      </w:r>
      <w:r>
        <w:rPr>
          <w:b/>
          <w:b/>
          <w:bCs/>
          <w:rtl w:val="true"/>
        </w:rPr>
        <w:t>נבחר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תמים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,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tl w:val="true"/>
        </w:rPr>
        <w:t xml:space="preserve">),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חקירתי</w:t>
      </w:r>
      <w:r>
        <w:rPr>
          <w:rtl w:val="true"/>
        </w:rPr>
        <w:t xml:space="preserve">, </w:t>
      </w:r>
      <w:r>
        <w:rPr>
          <w:rtl w:val="true"/>
        </w:rPr>
        <w:t>תביעתי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ואומנם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ומרכזי</w:t>
      </w:r>
      <w:r>
        <w:rPr>
          <w:rtl w:val="true"/>
        </w:rPr>
        <w:t xml:space="preserve">, </w:t>
      </w:r>
      <w:r>
        <w:rPr>
          <w:rtl w:val="true"/>
        </w:rPr>
        <w:t>כשותפיו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בשוקלנו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150/87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ind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מיטב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הבנתו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בעשיית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ובהרתעת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ועתידו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פונקציה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הסופי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(</w:t>
      </w:r>
      <w:hyperlink r:id="rId25"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צ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יקובסקי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מא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492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498</w:t>
      </w:r>
      <w:r>
        <w:rPr>
          <w:rtl w:val="true"/>
        </w:rPr>
        <w:t>).</w:t>
      </w:r>
    </w:p>
    <w:p>
      <w:pPr>
        <w:pStyle w:val="Style12"/>
        <w:ind w:start="1440" w:end="567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בפסיקתנו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אינדיווידואלי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5106/99</w:t>
        </w:r>
      </w:hyperlink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Style12"/>
        <w:ind w:start="1440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ענישת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תעריפים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שמוענק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בשיטתנו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מירבי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שופטים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בפניהם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Style12"/>
        <w:ind w:start="1440" w:end="567"/>
        <w:jc w:val="both"/>
        <w:rPr/>
      </w:pP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אבו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ניג</w:t>
        </w:r>
        <w:r>
          <w:rPr>
            <w:rStyle w:val="Hyperlink"/>
            <w:rtl w:val="true"/>
          </w:rPr>
          <w:t>'</w:t>
        </w:r>
        <w:r>
          <w:rPr>
            <w:rStyle w:val="Hyperlink"/>
            <w:rtl w:val="true"/>
          </w:rPr>
          <w:t>מה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מדינת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ישראל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340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350</w:t>
      </w:r>
      <w:r>
        <w:rPr>
          <w:rtl w:val="true"/>
        </w:rPr>
        <w:t>).</w:t>
      </w:r>
    </w:p>
    <w:p>
      <w:pPr>
        <w:pStyle w:val="Style12"/>
        <w:ind w:start="1440" w:end="567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בתיקים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סיכומו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הרימונים</w:t>
      </w:r>
      <w:r>
        <w:rPr>
          <w:rtl w:val="true"/>
        </w:rPr>
        <w:t xml:space="preserve">, 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u w:val="single"/>
        </w:rPr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b/>
          <w:bCs/>
          <w:u w:val="single"/>
        </w:rPr>
        <w:t>08.12.03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בטבת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בינואר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852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3"/>
        <w:gridCol w:w="707"/>
        <w:gridCol w:w="2550"/>
        <w:gridCol w:w="567"/>
        <w:gridCol w:w="2465"/>
      </w:tblGrid>
      <w:tr>
        <w:trPr/>
        <w:tc>
          <w:tcPr>
            <w:tcW w:w="223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י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וילנר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שופטת</w:t>
            </w:r>
          </w:p>
        </w:tc>
        <w:tc>
          <w:tcPr>
            <w:tcW w:w="7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550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י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אלרון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שופט</w:t>
            </w:r>
          </w:p>
        </w:tc>
        <w:tc>
          <w:tcPr>
            <w:tcW w:w="56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color w:val="000000"/>
              </w:rPr>
            </w:pPr>
            <w:r>
              <w:rPr>
                <w:color w:val="000000"/>
                <w:rtl w:val="true"/>
              </w:rPr>
            </w:r>
          </w:p>
        </w:tc>
        <w:tc>
          <w:tcPr>
            <w:tcW w:w="246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ש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ברלינר</w:t>
            </w:r>
            <w:r>
              <w:rPr>
                <w:color w:val="000000"/>
                <w:rtl w:val="true"/>
              </w:rPr>
              <w:t xml:space="preserve">, </w:t>
            </w:r>
            <w:r>
              <w:rPr>
                <w:color w:val="000000"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ס</w:t>
            </w:r>
            <w:r>
              <w:rPr>
                <w:color w:val="000000"/>
                <w:rtl w:val="true"/>
              </w:rPr>
              <w:t xml:space="preserve">. </w:t>
            </w:r>
            <w:r>
              <w:rPr>
                <w:color w:val="000000"/>
                <w:rtl w:val="true"/>
              </w:rPr>
              <w:t>נשיא</w:t>
            </w:r>
          </w:p>
          <w:p>
            <w:pPr>
              <w:pStyle w:val="Normal"/>
              <w:ind w:end="0"/>
              <w:jc w:val="center"/>
              <w:rPr>
                <w:color w:val="000000"/>
              </w:rPr>
            </w:pPr>
            <w:r>
              <w:rPr>
                <w:color w:val="000000"/>
                <w:rtl w:val="true"/>
              </w:rPr>
              <w:t>אב</w:t>
            </w:r>
            <w:r>
              <w:rPr>
                <w:color w:val="000000"/>
                <w:rtl w:val="true"/>
              </w:rPr>
              <w:t>"</w:t>
            </w:r>
            <w:r>
              <w:rPr>
                <w:color w:val="000000"/>
                <w:rtl w:val="true"/>
              </w:rPr>
              <w:t>ד</w:t>
            </w:r>
          </w:p>
        </w:tc>
      </w:tr>
    </w:tbl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  <w:t>נוסח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מסמך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זה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כפוף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לשינויי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ניסוח</w:t>
      </w:r>
      <w:r>
        <w:rPr>
          <w:rFonts w:cs="Times New Roman"/>
          <w:szCs w:val="20"/>
          <w:rtl w:val="true"/>
        </w:rPr>
        <w:t xml:space="preserve"> </w:t>
      </w:r>
      <w:r>
        <w:rPr>
          <w:szCs w:val="20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Arial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בע</w:t>
    </w:r>
    <w:r>
      <w:rPr>
        <w:rFonts w:cs="TopType Jerushalmi;Arial"/>
        <w:color w:val="000000"/>
        <w:sz w:val="28"/>
        <w:szCs w:val="22"/>
        <w:rtl w:val="true"/>
      </w:rPr>
      <w:t>"</w:t>
    </w:r>
    <w:r>
      <w:rPr>
        <w:rFonts w:cs="TopType Jerushalmi;Arial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Arial"/>
        <w:color w:val="000000"/>
        <w:sz w:val="28"/>
        <w:szCs w:val="22"/>
      </w:rPr>
      <w:t>nevo.co.il</w:t>
    </w:r>
    <w:r>
      <w:rPr>
        <w:rFonts w:cs="TopType Jerushalmi;Arial"/>
        <w:color w:val="000000"/>
        <w:sz w:val="28"/>
        <w:szCs w:val="22"/>
        <w:rtl w:val="true"/>
      </w:rPr>
      <w:t xml:space="preserve">   </w:t>
    </w:r>
    <w:r>
      <w:rPr>
        <w:rFonts w:cs="TopType Jerushalmi;Arial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Arial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Arial"/>
        <w:color w:val="000000"/>
        <w:sz w:val="14"/>
        <w:szCs w:val="14"/>
      </w:rPr>
    </w:pPr>
    <w:r>
      <w:rPr>
        <w:rFonts w:cs="TopType Jerushalmi;Arial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Arial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Arial"/>
        <w:color w:val="000000"/>
      </w:rPr>
      <w:fldChar w:fldCharType="separate"/>
    </w:r>
    <w:r>
      <w:rPr>
        <w:rtl w:val="true"/>
        <w:sz w:val="14"/>
        <w:szCs w:val="14"/>
        <w:rFonts w:cs="TopType Jerushalmi;Arial"/>
        <w:color w:val="000000"/>
      </w:rPr>
      <w:t>/Users/liorb/Downloads/study2025-p2/m04001010-563.doc</w:t>
    </w:r>
    <w:r>
      <w:rPr>
        <w:rtl w:val="true"/>
        <w:sz w:val="14"/>
        <w:szCs w:val="14"/>
        <w:rFonts w:cs="TopType Jerushalmi;Arial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1010/04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מיכאל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שכטמן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סולומון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צטוט"/>
    <w:basedOn w:val="Normal"/>
    <w:qFormat/>
    <w:pPr>
      <w:ind w:hanging="0" w:start="567" w:end="567"/>
      <w:jc w:val="both"/>
    </w:pPr>
    <w:rPr/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573401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32" TargetMode="External"/><Relationship Id="rId7" Type="http://schemas.openxmlformats.org/officeDocument/2006/relationships/hyperlink" Target="http://www.nevo.co.il/law/70301/144.a." TargetMode="External"/><Relationship Id="rId8" Type="http://schemas.openxmlformats.org/officeDocument/2006/relationships/hyperlink" Target="http://www.nevo.co.il/law/70301/144.b." TargetMode="External"/><Relationship Id="rId9" Type="http://schemas.openxmlformats.org/officeDocument/2006/relationships/hyperlink" Target="http://www.nevo.co.il/law/70301/144.c.3" TargetMode="External"/><Relationship Id="rId10" Type="http://schemas.openxmlformats.org/officeDocument/2006/relationships/hyperlink" Target="http://www.nevo.co.il/law/70301/330" TargetMode="External"/><Relationship Id="rId11" Type="http://schemas.openxmlformats.org/officeDocument/2006/relationships/hyperlink" Target="http://www.nevo.co.il/law/70301/452" TargetMode="External"/><Relationship Id="rId12" Type="http://schemas.openxmlformats.org/officeDocument/2006/relationships/hyperlink" Target="http://www.nevo.co.il/law/70301/454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0301/144.a.;144.b.;144.c.3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/330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/32" TargetMode="External"/><Relationship Id="rId20" Type="http://schemas.openxmlformats.org/officeDocument/2006/relationships/hyperlink" Target="http://www.nevo.co.il/law/70301/452" TargetMode="External"/><Relationship Id="rId21" Type="http://schemas.openxmlformats.org/officeDocument/2006/relationships/hyperlink" Target="http://www.nevo.co.il/law/70301/454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32" TargetMode="External"/><Relationship Id="rId24" Type="http://schemas.openxmlformats.org/officeDocument/2006/relationships/hyperlink" Target="http://www.nevo.co.il/case/17940400" TargetMode="External"/><Relationship Id="rId25" Type="http://schemas.openxmlformats.org/officeDocument/2006/relationships/hyperlink" Target="http://www.nevo.co.il/case/17940400" TargetMode="External"/><Relationship Id="rId26" Type="http://schemas.openxmlformats.org/officeDocument/2006/relationships/hyperlink" Target="http://www.nevo.co.il/case/5993616" TargetMode="External"/><Relationship Id="rId27" Type="http://schemas.openxmlformats.org/officeDocument/2006/relationships/hyperlink" Target="http://www.nevo.co.il/case/5993616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2017-01-10T10:43:00Z</dcterms:created>
  <dc:creator> </dc:creator>
  <dc:description/>
  <cp:keywords/>
  <dc:language>en-IL</dc:language>
  <cp:lastModifiedBy>Tali-a</cp:lastModifiedBy>
  <cp:lastPrinted>2005-01-06T10:23:00Z</cp:lastPrinted>
  <dcterms:modified xsi:type="dcterms:W3CDTF">2017-01-10T10:43:00Z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מיכאל שכטמן בן סולומון</vt:lpwstr>
  </property>
  <property fmtid="{D5CDD505-2E9C-101B-9397-08002B2CF9AE}" pid="4" name="CASESLISTTMP1">
    <vt:lpwstr>5734012;17940400:2;5993616:2</vt:lpwstr>
  </property>
  <property fmtid="{D5CDD505-2E9C-101B-9397-08002B2CF9AE}" pid="5" name="CITY">
    <vt:lpwstr>חי'</vt:lpwstr>
  </property>
  <property fmtid="{D5CDD505-2E9C-101B-9397-08002B2CF9AE}" pid="6" name="DATE">
    <vt:lpwstr>20050106</vt:lpwstr>
  </property>
  <property fmtid="{D5CDD505-2E9C-101B-9397-08002B2CF9AE}" pid="7" name="JUDGE">
    <vt:lpwstr>ש. ברלינר;י. אלרון;י. וילנר</vt:lpwstr>
  </property>
  <property fmtid="{D5CDD505-2E9C-101B-9397-08002B2CF9AE}" pid="8" name="LAWLISTTMP1">
    <vt:lpwstr>70301/499.a.1;144.a;144.b;144.c.3;029;330;031:2;032:2;452;454</vt:lpwstr>
  </property>
  <property fmtid="{D5CDD505-2E9C-101B-9397-08002B2CF9AE}" pid="9" name="LAWYER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http://www.nevo.co.il/Psika_word/elyon/05015970-a01-e.doc;לערעור בעליון (נדחה, 26.10.05)#עפ 1597/05 מיכאל שכטמן נ' מדינת ישראל#א' ברק, ד' ביניש, ס' ג'ובראן</vt:lpwstr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1010</vt:lpwstr>
  </property>
  <property fmtid="{D5CDD505-2E9C-101B-9397-08002B2CF9AE}" pid="27" name="PROCYEAR">
    <vt:lpwstr>04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6</vt:lpwstr>
  </property>
</Properties>
</file>