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  <w:rtl w:val="true"/>
              </w:rPr>
              <w:t xml:space="preserve"> - </w:t>
            </w:r>
            <w:r>
              <w:rPr>
                <w:sz w:val="22"/>
                <w:szCs w:val="22"/>
              </w:rPr>
              <w:t>02</w:t>
            </w:r>
            <w:r>
              <w:rPr>
                <w:sz w:val="22"/>
                <w:szCs w:val="22"/>
                <w:rtl w:val="true"/>
              </w:rPr>
              <w:t xml:space="preserve"> - </w:t>
            </w:r>
            <w:r>
              <w:rPr>
                <w:sz w:val="22"/>
                <w:szCs w:val="22"/>
              </w:rPr>
              <w:t>14116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מוחמד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אעמר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17.9.2013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tbl>
      <w:tblPr>
        <w:bidiVisual w:val="true"/>
        <w:tblW w:w="8647" w:type="dxa"/>
        <w:jc w:val="start"/>
        <w:tblInd w:w="49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בני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פסקל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before="240" w:after="0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1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מוחמד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ראשד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אעמר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ת</w:t>
            </w:r>
            <w:r>
              <w:rPr>
                <w:b/>
                <w:bCs/>
                <w:sz w:val="22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rFonts w:cs="Times New Roman"/>
                <w:b/>
                <w:bCs/>
                <w:sz w:val="22"/>
                <w:rtl w:val="true"/>
                <w:lang w:eastAsia="he-IL"/>
              </w:rPr>
              <w:t xml:space="preserve">  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lang w:eastAsia="he-IL"/>
              </w:rPr>
              <w:t>1988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מיכאל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כרמל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lang w:eastAsia="he-IL"/>
              </w:rPr>
              <w:t>2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חוסיין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מוחמד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עווד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ת</w:t>
            </w:r>
            <w:r>
              <w:rPr>
                <w:b/>
                <w:bCs/>
                <w:sz w:val="22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rFonts w:cs="Times New Roman"/>
                <w:b/>
                <w:bCs/>
                <w:sz w:val="22"/>
                <w:rtl w:val="true"/>
                <w:lang w:eastAsia="he-IL"/>
              </w:rPr>
              <w:t xml:space="preserve">    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lang w:eastAsia="he-IL"/>
              </w:rPr>
              <w:t>1987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שאדי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דבאח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הנאשמים</w:t>
            </w:r>
          </w:p>
        </w:tc>
      </w:tr>
    </w:tbl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szCs w:val="28"/>
        </w:rPr>
      </w:pPr>
      <w:r>
        <w:rPr>
          <w:rFonts w:cs="David" w:ascii="David" w:hAnsi="David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8"/>
        </w:rPr>
      </w:pPr>
      <w:r>
        <w:rPr>
          <w:rFonts w:cs="FrankRuehl" w:ascii="FrankRuehl" w:hAnsi="FrankRuehl"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szCs w:val="28"/>
        </w:rPr>
      </w:pPr>
      <w:r>
        <w:rPr>
          <w:rFonts w:cs="David" w:ascii="David" w:hAnsi="David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szCs w:val="28"/>
        </w:rPr>
      </w:pPr>
      <w:r>
        <w:rPr>
          <w:rFonts w:cs="David" w:ascii="David" w:hAnsi="David"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bookmarkStart w:id="10" w:name="PsakDin"/>
      <w:bookmarkEnd w:id="10"/>
      <w:r>
        <w:rPr>
          <w:rFonts w:ascii="David" w:hAnsi="David"/>
          <w:b/>
          <w:b/>
          <w:bCs/>
          <w:szCs w:val="28"/>
          <w:rtl w:val="true"/>
        </w:rPr>
        <w:t>גזר דין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b/>
          <w:bCs/>
          <w:sz w:val="22"/>
          <w:szCs w:val="28"/>
        </w:rPr>
      </w:pPr>
      <w:r>
        <w:rPr>
          <w:rFonts w:cs="David" w:ascii="David" w:hAnsi="David"/>
          <w:b/>
          <w:bCs/>
          <w:sz w:val="22"/>
          <w:szCs w:val="28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3" w:name="ABSTRACT_START"/>
      <w:bookmarkEnd w:id="13"/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הלם</w:t>
      </w:r>
      <w:bookmarkStart w:id="14" w:name="ABSTRACT_END"/>
      <w:bookmarkEnd w:id="14"/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  <w:tab/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בצירוף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בצירוף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5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  <w:tab/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בצירוף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8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</w:rPr>
          <w:t>2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בצירוף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1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7.1.2013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הרימון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שוחחו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בטלפון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וסיכמו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תאריך</w:t>
      </w:r>
      <w:r>
        <w:rPr>
          <w:sz w:val="22"/>
          <w:rtl w:val="true"/>
        </w:rPr>
        <w:t xml:space="preserve">, </w:t>
      </w:r>
      <w:r>
        <w:rPr>
          <w:sz w:val="22"/>
        </w:rPr>
        <w:t>7.1.2013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שוחח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בסביבות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16:30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לשאלתי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3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1323/13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2013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ולדעתו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המתבררת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שהוכחש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כהכחשה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הרתעתית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להמחיש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ההסתברות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שטיפלה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שנוצ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השתתפותו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ריבוי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hyperlink r:id="rId33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יג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hyperlink r:id="rId34">
        <w:r>
          <w:rPr>
            <w:rStyle w:val="Hyperlink"/>
            <w:b/>
            <w:bCs/>
            <w:color w:val="0000FF"/>
            <w:sz w:val="22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יד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</w:rPr>
          <w:t>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35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מתחם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hyperlink r:id="rId3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</w:hyperlink>
      <w:r>
        <w:rPr>
          <w:b/>
          <w:bCs/>
          <w:sz w:val="22"/>
          <w:rtl w:val="true"/>
        </w:rPr>
        <w:t xml:space="preserve">, </w:t>
      </w:r>
      <w:hyperlink r:id="rId37"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ט</w:t>
        </w:r>
        <w:r>
          <w:rPr>
            <w:rStyle w:val="Hyperlink"/>
            <w:b/>
            <w:bCs/>
            <w:sz w:val="22"/>
            <w:rtl w:val="true"/>
          </w:rPr>
          <w:t xml:space="preserve">' - </w:t>
        </w:r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38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):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ההלימה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</w:t>
      </w:r>
      <w:hyperlink r:id="rId3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ט</w:t>
        </w:r>
        <w:r>
          <w:rPr>
            <w:rStyle w:val="Hyperlink"/>
            <w:color w:val="0000FF"/>
            <w:sz w:val="22"/>
            <w:u w:val="single"/>
            <w:rtl w:val="true"/>
          </w:rPr>
          <w:t>'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40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מבטאים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טכני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תשעה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</w:rPr>
          <w:t>2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הקצוב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להבדיל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>)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42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ז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יד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u w:val="single"/>
          </w:rPr>
          <w:t>3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4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hyperlink r:id="rId46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hyperlink r:id="rId47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יד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מוחמד</w:t>
      </w:r>
      <w:r>
        <w:rPr>
          <w:b/>
          <w:bCs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תשעה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חוסין</w:t>
      </w:r>
      <w:r>
        <w:rPr>
          <w:b/>
          <w:bCs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קבוצתי</w:t>
      </w:r>
      <w:r>
        <w:rPr>
          <w:rtl w:val="true"/>
        </w:rPr>
        <w:t xml:space="preserve">, </w:t>
      </w:r>
      <w:r>
        <w:rPr>
          <w:rtl w:val="true"/>
        </w:rPr>
        <w:t>שיפחית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>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חילוט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המכונית</w:t>
      </w:r>
      <w:r>
        <w:rPr>
          <w:b/>
          <w:bCs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ועוצמתה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אמנם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שעוצמתה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לחלטה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12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מחליט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כדלקמן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  <w:tab/>
      </w:r>
      <w:r>
        <w:rPr>
          <w:b/>
          <w:b/>
          <w:bCs/>
          <w:sz w:val="22"/>
          <w:sz w:val="22"/>
          <w:rtl w:val="true"/>
        </w:rPr>
        <w:t>ביחס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 -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ראשד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אעמר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200765790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21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עשרים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ואחד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תשעה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0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תנוכה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7.1.2013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14.3.2013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  <w:tab/>
      </w:r>
      <w:r>
        <w:rPr>
          <w:b/>
          <w:b/>
          <w:bCs/>
          <w:sz w:val="22"/>
          <w:sz w:val="22"/>
          <w:rtl w:val="true"/>
        </w:rPr>
        <w:t>ביחס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 - </w:t>
      </w:r>
      <w:r>
        <w:rPr>
          <w:b/>
          <w:b/>
          <w:bCs/>
          <w:sz w:val="22"/>
          <w:sz w:val="22"/>
          <w:rtl w:val="true"/>
        </w:rPr>
        <w:t>חוסין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עווד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300975471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30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5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תנוכה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7.1.2013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14.3.2013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17.9.2013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3"/>
      <w:footerReference w:type="default" r:id="rId54"/>
      <w:type w:val="nextPage"/>
      <w:pgSz w:w="11906" w:h="16838"/>
      <w:pgMar w:left="1701" w:right="1275" w:gutter="0" w:header="680" w:top="1701" w:footer="1021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ראשד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אעמר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40j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d" TargetMode="External"/><Relationship Id="rId18" Type="http://schemas.openxmlformats.org/officeDocument/2006/relationships/hyperlink" Target="http://www.nevo.co.il/law/70301/40jd.2" TargetMode="External"/><Relationship Id="rId19" Type="http://schemas.openxmlformats.org/officeDocument/2006/relationships/hyperlink" Target="http://www.nevo.co.il/law/70301/40jd.3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144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/40jd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/40i;40j;40j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40e;40f;40g" TargetMode="External"/><Relationship Id="rId43" Type="http://schemas.openxmlformats.org/officeDocument/2006/relationships/hyperlink" Target="http://www.nevo.co.il/law/70301/40jd.3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c.b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/40jd.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2016-01-03T18:27:00Z</dcterms:created>
  <dc:creator> </dc:creator>
  <dc:description/>
  <cp:keywords/>
  <dc:language>en-IL</dc:language>
  <cp:lastModifiedBy>yafit</cp:lastModifiedBy>
  <dcterms:modified xsi:type="dcterms:W3CDTF">2016-01-03T18:27:00Z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(בן ראשד) אעמר;חוסיין (בן מוחמד) עווד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</vt:lpwstr>
  </property>
  <property fmtid="{D5CDD505-2E9C-101B-9397-08002B2CF9AE}" pid="9" name="CITY">
    <vt:lpwstr>חי'</vt:lpwstr>
  </property>
  <property fmtid="{D5CDD505-2E9C-101B-9397-08002B2CF9AE}" pid="10" name="DATE">
    <vt:lpwstr>20130917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70301/144.a:2;144.c:4;144.b;144.b2:2;40jc;40jd;040c;040i:2;040j;40ja:2;040e;040f;040g;40jd.3;040c.b;40jd.2;144:2</vt:lpwstr>
  </property>
  <property fmtid="{D5CDD505-2E9C-101B-9397-08002B2CF9AE}" pid="15" name="LAWYER">
    <vt:lpwstr>בני פסקל;מיכאל כרמל;שאדי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390020130917</vt:lpwstr>
  </property>
  <property fmtid="{D5CDD505-2E9C-101B-9397-08002B2CF9AE}" pid="34" name="TYPE_N_DATE">
    <vt:lpwstr>39020130917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