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536"/>
        <w:gridCol w:w="170"/>
        <w:gridCol w:w="680"/>
        <w:gridCol w:w="2269"/>
      </w:tblGrid>
      <w:tr>
        <w:trPr>
          <w:trHeight w:val="195" w:hRule="atLeast"/>
        </w:trPr>
        <w:tc>
          <w:tcPr>
            <w:tcW w:w="850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001996/05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פרדלסקי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14/09/2005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סולופקוב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אלכסיי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4" w:name="FirstLawyer"/>
            <w:bookmarkEnd w:id="4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בורובסקי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ציבורית</w:t>
            </w:r>
            <w:r>
              <w:rPr>
                <w:rtl w:val="true"/>
              </w:rPr>
              <w:t>)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קצינת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וידאד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סיטמיצקי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מתורגמנית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צד_ג"/>
      <w:bookmarkStart w:id="6" w:name="צד_ג"/>
      <w:bookmarkEnd w:id="6"/>
    </w:p>
    <w:p>
      <w:pPr>
        <w:pStyle w:val="Normal"/>
        <w:ind w:end="0"/>
        <w:jc w:val="both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הדיון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מתורגם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מהשפה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העברית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לשפה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הרוסית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ולהיפך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ידי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גב</w:t>
      </w:r>
      <w:r>
        <w:rPr>
          <w:b/>
          <w:bCs/>
          <w:i/>
          <w:iCs/>
          <w:rtl w:val="true"/>
        </w:rPr>
        <w:t xml:space="preserve">' </w:t>
      </w:r>
      <w:r>
        <w:rPr>
          <w:b/>
          <w:b/>
          <w:bCs/>
          <w:i/>
          <w:i/>
          <w:iCs/>
          <w:rtl w:val="true"/>
        </w:rPr>
        <w:t>סיטמיצקי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לאחר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שהוזהרה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לתרגם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נאמנה</w:t>
      </w:r>
      <w:r>
        <w:rPr>
          <w:b/>
          <w:bCs/>
          <w:i/>
          <w:iCs/>
          <w:rtl w:val="true"/>
        </w:rPr>
        <w:t>.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cs="FrankRuehl" w:ascii="FrankRuehl" w:hAnsi="FrankRuehl"/>
          <w:i/>
          <w:iCs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ascii="FrankRuehl" w:hAnsi="FrankRuehl" w:cs="FrankRuehl"/>
          <w:i/>
          <w:i/>
          <w:iCs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i/>
          <w:iCs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hyperlink r:id="rId2"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i/>
          <w:i/>
          <w:iCs/>
          <w:sz w:val="24"/>
          <w:sz w:val="24"/>
          <w:rtl w:val="true"/>
        </w:rPr>
        <w:t>סע</w:t>
      </w:r>
      <w:r>
        <w:rPr>
          <w:rFonts w:cs="FrankRuehl" w:ascii="FrankRuehl" w:hAnsi="FrankRuehl"/>
          <w:i/>
          <w:iCs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377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cs="FrankRuehl" w:ascii="FrankRuehl" w:hAnsi="FrankRuehl"/>
          <w:i/>
          <w:iCs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cs="FrankRuehl" w:ascii="FrankRuehl" w:hAnsi="FrankRuehl"/>
          <w:i/>
          <w:iCs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צד_ג"/>
      <w:bookmarkStart w:id="12" w:name="PsakDin"/>
      <w:bookmarkStart w:id="13" w:name="סוג_מסמך"/>
      <w:bookmarkEnd w:id="10"/>
      <w:bookmarkEnd w:id="11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bookmarkStart w:id="16" w:name="סוג_מסמך"/>
      <w:bookmarkEnd w:id="16"/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הקצינה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18" w:name="ABSTRACT_END"/>
      <w:bookmarkEnd w:id="18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4.4.05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רזיאל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 </w:t>
      </w:r>
      <w:r>
        <w:rPr>
          <w:rtl w:val="true"/>
        </w:rPr>
        <w:t>משניסתה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הסטריאו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וניפצם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הוציאם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כשהקצינה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 "</w:t>
      </w:r>
      <w:r>
        <w:rPr>
          <w:rtl w:val="true"/>
        </w:rPr>
        <w:t>להערכתנו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"...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4"/>
        </w:rPr>
        <w:t>5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ב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כ המאשימה עתרה להטיל על הנאשם מאסר בפועל לתקופה ממושכת ומאסר על תנאי מרתיע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לטענתה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מדובר בעבירות מפליגות בחומרתן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הנאשם סיכן חיי אדם באופן ממשי ולא נרתע גם כשהגיעו שלוחי החוק כאשר בנס לא אירעה טרגדיה למתלוננת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למכרים ולקצינה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בנוסף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מתסקיר שירות מבחן עולה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כי הנאשם מפחית מחומרת מעשיו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שולל כל צורך בהתערבות טיפולית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ומכאן החשש להשנות מעשיו בעתיד אם יקלע לנסיבות דומות ולמצוקה אישית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6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ב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כ הנאשם הגיש פסיקה ועתר לביהמ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ש להסתפק בימי המעצר ולהטיל על הנאשם מאסר על תנאי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לטענתו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מדובר בנאשם לא עבר פלילי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אדם נורמטיבי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שגידל משפחה לתפארת ושני ילדיו משרתים בצבא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הנאשם הודה בעובדות כתב האישום המתוקן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לאחר עדות אחת ובכך חסך זמן שיפוטי ניכר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האירוע התרחש עקב הצטברות של נסיבות קשות</w:t>
      </w:r>
      <w:r>
        <w:rPr>
          <w:rFonts w:cs="Arial" w:ascii="Arial" w:hAnsi="Arial"/>
          <w:sz w:val="24"/>
          <w:rtl w:val="true"/>
        </w:rPr>
        <w:t xml:space="preserve">: </w:t>
      </w:r>
      <w:r>
        <w:rPr>
          <w:rFonts w:ascii="Arial" w:hAnsi="Arial" w:cs="Arial"/>
          <w:sz w:val="24"/>
          <w:sz w:val="24"/>
          <w:rtl w:val="true"/>
        </w:rPr>
        <w:t>מחלת אימו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חובות עצומים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פיטורים מהעבודה ומשבר משפחתי ויש להתחשב בכך שמדובר באירוע חד פעמי שהסתיים ללא נזק ולא הייתה לנאשם כוונה לפגוע במתלוננת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בנוסף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 xml:space="preserve">הפנה לעדותה של הקצינה </w:t>
      </w:r>
      <w:r>
        <w:rPr>
          <w:rFonts w:cs="Arial" w:ascii="Arial" w:hAnsi="Arial"/>
          <w:sz w:val="24"/>
          <w:rtl w:val="true"/>
        </w:rPr>
        <w:t>(</w:t>
      </w:r>
      <w:r>
        <w:rPr>
          <w:rFonts w:ascii="Arial" w:hAnsi="Arial" w:cs="Arial"/>
          <w:sz w:val="24"/>
          <w:sz w:val="24"/>
          <w:rtl w:val="true"/>
        </w:rPr>
        <w:t>עמ</w:t>
      </w:r>
      <w:r>
        <w:rPr>
          <w:rFonts w:cs="Arial" w:ascii="Arial" w:hAnsi="Arial"/>
          <w:sz w:val="24"/>
          <w:rtl w:val="true"/>
        </w:rPr>
        <w:t xml:space="preserve">' </w:t>
      </w:r>
      <w:r>
        <w:rPr>
          <w:rFonts w:cs="Arial" w:ascii="Arial" w:hAnsi="Arial"/>
          <w:sz w:val="24"/>
        </w:rPr>
        <w:t>15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שורה </w:t>
      </w:r>
      <w:r>
        <w:rPr>
          <w:rFonts w:cs="Arial" w:ascii="Arial" w:hAnsi="Arial"/>
          <w:sz w:val="24"/>
        </w:rPr>
        <w:t>14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ואילך לפרוטוקול מיום </w:t>
      </w:r>
      <w:r>
        <w:rPr>
          <w:rFonts w:cs="Arial" w:ascii="Arial" w:hAnsi="Arial"/>
          <w:sz w:val="24"/>
        </w:rPr>
        <w:t>1/6/05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rtl w:val="true"/>
        </w:rPr>
        <w:t>ממנה עולה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לטענתו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כי מדובר באדם שאינו עבריין שנקלע למצוקה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לטענתו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הנאשם עצור כ</w:t>
      </w:r>
      <w:r>
        <w:rPr>
          <w:rFonts w:cs="Arial" w:ascii="Arial" w:hAnsi="Arial"/>
          <w:sz w:val="24"/>
          <w:rtl w:val="true"/>
        </w:rPr>
        <w:t>-</w:t>
      </w:r>
      <w:r>
        <w:rPr>
          <w:rFonts w:cs="Arial" w:ascii="Arial" w:hAnsi="Arial"/>
          <w:sz w:val="24"/>
        </w:rPr>
        <w:t>4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חודשים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המעצר מהווה עבורו חוויה קשה וטראומתית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לפיכך ניתן להסתפק בימי המעצר ובמאסר על תנאי ובכך די כדי להרתיע את הנאשם מלחזור על מעשיו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הנאשם הביע חרטה בפני ביהמ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ש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7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הנאשם ביצע עבירות חמורות שעניינן החזקת נשק שלא כדין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יריות באיזור מגורים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כליאת שווא ואיומים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מדובר בשרשרת של מעשים שהסתיימו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למרבה המזל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בלי פגיעה בנפש כשבתו של הנאשם הגיעה לדירה והנאשם מסר לידה את הנשק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eastAsia="Arial" w:cs="Arial" w:ascii="Arial" w:hAnsi="Arial"/>
          <w:sz w:val="24"/>
          <w:rtl w:val="true"/>
        </w:rPr>
        <w:t xml:space="preserve"> </w:t>
      </w:r>
      <w:r>
        <w:rPr>
          <w:rFonts w:cs="Arial" w:ascii="Arial" w:hAnsi="Arial"/>
          <w:sz w:val="24"/>
          <w:rtl w:val="true"/>
        </w:rPr>
        <w:tab/>
      </w:r>
      <w:r>
        <w:rPr>
          <w:rFonts w:ascii="Arial" w:hAnsi="Arial" w:cs="Arial"/>
          <w:sz w:val="24"/>
          <w:sz w:val="24"/>
          <w:rtl w:val="true"/>
        </w:rPr>
        <w:t>לא ניתן להתייחס למעשים אלו בסלחנות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לאור הסכנה החמורה שנשקפה למתלוננת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למכריו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לקצינה ולכל מי ששהה באיזור</w:t>
      </w:r>
      <w:r>
        <w:rPr>
          <w:rFonts w:cs="Arial" w:ascii="Arial" w:hAnsi="Arial"/>
          <w:sz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rtl w:val="true"/>
        </w:rPr>
        <w:t>יש ליתן במקרה זה משקל נכבד לאינטרס הציבורי ולצורך להגן על הציבור מפניו של הנאשם שעלול לחזור על מעשיו באם ייקלע בשנית למצוקה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כפי שעולה מתסקיר שירות מבחן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זאת בהעדר נכונות מצידו של הנאשם לעבור טיפול מקצועי ובאי לקיחת אחריות מלאה על מעשיו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כמו כן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יש ליתן משקל נכבד לאינטרס הציבורי להרתיע אחרים מלבצע את העבירות נשוא כתב האישום על פני נסיבותיו האישיות של הנאשם</w:t>
      </w:r>
      <w:r>
        <w:rPr>
          <w:rFonts w:cs="Arial" w:ascii="Arial" w:hAnsi="Arial"/>
          <w:sz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8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ascii="Arial" w:hAnsi="Arial" w:cs="Arial"/>
          <w:sz w:val="24"/>
          <w:sz w:val="24"/>
          <w:rtl w:val="true"/>
        </w:rPr>
        <w:t>לאחר ששקלתי את טיעוני ב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כ הצדדים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את האמור בתסקיר שירות המבחן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את עדותה של הקצינה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את הודאת הנאשם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החיסכון בזמן שיפוטי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העדר הרשעות קודמות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הבעת החרטה שהביע הנאשם בפני ביהמ</w:t>
      </w: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sz w:val="24"/>
          <w:sz w:val="24"/>
          <w:rtl w:val="true"/>
        </w:rPr>
        <w:t>ש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עדות המתלוננת ובתו שמדובר באירוע חריג וחד פעמי תוך שימת דגש על האינטרס הציבורי ועל הגנת הציבור החלטתי לגזור על הנאשם את העונשים הבאים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א</w:t>
      </w:r>
      <w:r>
        <w:rPr>
          <w:rFonts w:cs="Arial" w:ascii="Arial" w:hAnsi="Arial"/>
          <w:sz w:val="24"/>
          <w:rtl w:val="true"/>
        </w:rPr>
        <w:t xml:space="preserve">. </w:t>
        <w:tab/>
      </w:r>
      <w:r>
        <w:rPr>
          <w:rFonts w:ascii="Arial" w:hAnsi="Arial" w:cs="Arial"/>
          <w:sz w:val="24"/>
          <w:sz w:val="24"/>
          <w:rtl w:val="true"/>
        </w:rPr>
        <w:t xml:space="preserve">מאסר בפועל לתקופה של </w:t>
      </w:r>
      <w:r>
        <w:rPr>
          <w:rFonts w:cs="Arial" w:ascii="Arial" w:hAnsi="Arial"/>
          <w:sz w:val="24"/>
        </w:rPr>
        <w:t>24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חודשים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בניכוי ימי המעצר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ב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cs="Arial" w:ascii="Arial" w:hAnsi="Arial"/>
          <w:sz w:val="24"/>
        </w:rPr>
        <w:t>12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חודשי מאסר על תנאי לתקופה של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שנים מיום שחרורו שלא יעבור על </w:t>
      </w:r>
    </w:p>
    <w:p>
      <w:pPr>
        <w:pStyle w:val="Normal"/>
        <w:ind w:firstLine="720" w:start="72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עבירה של החזקת נשק חם או קר או על כל עבירת אלימות מסוג פשע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ג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cs="Arial" w:ascii="Arial" w:hAnsi="Arial"/>
          <w:sz w:val="24"/>
        </w:rPr>
        <w:t>10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חודשי מאסר על תנאי לתקופה של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שנים מיום שחרורו שלא יעבור על עבירה של יריות באיזור מגורים ו</w:t>
      </w:r>
      <w:r>
        <w:rPr>
          <w:rFonts w:cs="Arial" w:ascii="Arial" w:hAnsi="Arial"/>
          <w:sz w:val="24"/>
          <w:rtl w:val="true"/>
        </w:rPr>
        <w:t>/</w:t>
      </w:r>
      <w:r>
        <w:rPr>
          <w:rFonts w:ascii="Arial" w:hAnsi="Arial" w:cs="Arial"/>
          <w:sz w:val="24"/>
          <w:sz w:val="24"/>
          <w:rtl w:val="true"/>
        </w:rPr>
        <w:t>או כליאת שווא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ד</w:t>
      </w:r>
      <w:r>
        <w:rPr>
          <w:rFonts w:cs="Arial" w:ascii="Arial" w:hAnsi="Arial"/>
          <w:sz w:val="24"/>
          <w:rtl w:val="true"/>
        </w:rPr>
        <w:t>.</w:t>
        <w:tab/>
      </w:r>
      <w:r>
        <w:rPr>
          <w:rFonts w:cs="Arial" w:ascii="Arial" w:hAnsi="Arial"/>
          <w:sz w:val="24"/>
        </w:rPr>
        <w:t>6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חודשי מאסר על תנאי לתקופה של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שנים מיום שחרורו שלא יעבור על כל עבירת אלימות מסוג עוון ו</w:t>
      </w:r>
      <w:r>
        <w:rPr>
          <w:rFonts w:cs="Arial" w:ascii="Arial" w:hAnsi="Arial"/>
          <w:sz w:val="24"/>
          <w:rtl w:val="true"/>
        </w:rPr>
        <w:t>/</w:t>
      </w:r>
      <w:r>
        <w:rPr>
          <w:rFonts w:ascii="Arial" w:hAnsi="Arial" w:cs="Arial"/>
          <w:sz w:val="24"/>
          <w:sz w:val="24"/>
          <w:rtl w:val="true"/>
        </w:rPr>
        <w:t>או היזק בזדון ו</w:t>
      </w:r>
      <w:r>
        <w:rPr>
          <w:rFonts w:cs="Arial" w:ascii="Arial" w:hAnsi="Arial"/>
          <w:sz w:val="24"/>
          <w:rtl w:val="true"/>
        </w:rPr>
        <w:t>/</w:t>
      </w:r>
      <w:r>
        <w:rPr>
          <w:rFonts w:ascii="Arial" w:hAnsi="Arial" w:cs="Arial"/>
          <w:sz w:val="24"/>
          <w:sz w:val="24"/>
          <w:rtl w:val="true"/>
        </w:rPr>
        <w:t>או עבירת איומים</w:t>
      </w:r>
      <w:r>
        <w:rPr>
          <w:rFonts w:cs="Arial" w:ascii="Arial" w:hAnsi="Arial"/>
          <w:sz w:val="24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4"/>
        </w:rPr>
        <w:t>45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ימים לביהמ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 המחוזי</w:t>
      </w:r>
      <w:r>
        <w:rPr>
          <w:rFonts w:cs="Arial" w:ascii="Arial" w:hAnsi="Arial"/>
          <w:b/>
          <w:bCs/>
          <w:sz w:val="24"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suppressLineNumbers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</w:t>
      </w:r>
      <w:r>
        <w:rPr>
          <w:rtl w:val="true"/>
        </w:rPr>
        <w:tab/>
        <w:tab/>
        <w:tab/>
        <w:tab/>
        <w:t xml:space="preserve">                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פרדלסקי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sz w:val="16"/>
          <w:szCs w:val="20"/>
        </w:rPr>
      </w:pPr>
      <w:r>
        <w:rPr>
          <w:sz w:val="18"/>
          <w:sz w:val="18"/>
          <w:szCs w:val="20"/>
          <w:rtl w:val="true"/>
        </w:rPr>
        <w:t>דגנית</w:t>
      </w:r>
      <w:r>
        <w:rPr>
          <w:sz w:val="18"/>
          <w:szCs w:val="20"/>
          <w:rtl w:val="true"/>
        </w:rPr>
        <w:t xml:space="preserve">. </w:t>
      </w:r>
      <w:r>
        <w:rPr>
          <w:sz w:val="18"/>
          <w:sz w:val="18"/>
          <w:szCs w:val="20"/>
          <w:rtl w:val="true"/>
        </w:rPr>
        <w:t>א</w:t>
      </w:r>
    </w:p>
    <w:p>
      <w:pPr>
        <w:pStyle w:val="Normal"/>
        <w:ind w:end="0"/>
        <w:jc w:val="both"/>
        <w:rPr>
          <w:sz w:val="24"/>
        </w:rPr>
      </w:pPr>
      <w:bookmarkStart w:id="21" w:name="Decision1"/>
      <w:bookmarkEnd w:id="21"/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/Users/liorb/Downloads/study2025-p2/s05001996-256.doc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1996/05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סולופקוב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אלכסיי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77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77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2017-03-22T12:06:00Z</dcterms:created>
  <dc:creator> </dc:creator>
  <dc:description/>
  <cp:keywords/>
  <dc:language>en-IL</dc:language>
  <cp:lastModifiedBy>Tali-a</cp:lastModifiedBy>
  <cp:lastPrinted>2005-08-22T11:31:00Z</cp:lastPrinted>
  <dcterms:modified xsi:type="dcterms:W3CDTF">2017-03-22T12:06:00Z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סולופקוב אלכסיי</vt:lpwstr>
  </property>
  <property fmtid="{D5CDD505-2E9C-101B-9397-08002B2CF9AE}" pid="4" name="CITY">
    <vt:lpwstr>חי'</vt:lpwstr>
  </property>
  <property fmtid="{D5CDD505-2E9C-101B-9397-08002B2CF9AE}" pid="5" name="DATE">
    <vt:lpwstr>20050914</vt:lpwstr>
  </property>
  <property fmtid="{D5CDD505-2E9C-101B-9397-08002B2CF9AE}" pid="6" name="ISABSTRACT">
    <vt:lpwstr>Y</vt:lpwstr>
  </property>
  <property fmtid="{D5CDD505-2E9C-101B-9397-08002B2CF9AE}" pid="7" name="JUDGE">
    <vt:lpwstr>יעל פרדלסקי</vt:lpwstr>
  </property>
  <property fmtid="{D5CDD505-2E9C-101B-9397-08002B2CF9AE}" pid="8" name="LAWLISTTMP1">
    <vt:lpwstr>70301/144.a;340a;377;192</vt:lpwstr>
  </property>
  <property fmtid="{D5CDD505-2E9C-101B-9397-08002B2CF9AE}" pid="9" name="LAWYER">
    <vt:lpwstr>בורובסקי;בר זוהר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1996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