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3"/>
        <w:gridCol w:w="992"/>
        <w:gridCol w:w="2091"/>
      </w:tblGrid>
      <w:tr>
        <w:trPr>
          <w:trHeight w:val="195" w:hRule="atLeast"/>
          <w:cantSplit w:val="true"/>
        </w:trPr>
        <w:tc>
          <w:tcPr>
            <w:tcW w:w="543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בחיפה</w:t>
            </w:r>
          </w:p>
        </w:tc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000274/02</w:t>
            </w:r>
          </w:p>
        </w:tc>
      </w:tr>
      <w:tr>
        <w:trPr>
          <w:trHeight w:val="195" w:hRule="atLeast"/>
          <w:cantSplit w:val="true"/>
        </w:trPr>
        <w:tc>
          <w:tcPr>
            <w:tcW w:w="543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</w:tabs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גרשון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30/01/2005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בא_כוח_א"/>
            <w:bookmarkStart w:id="6" w:name="FirstLawyer"/>
            <w:bookmarkStart w:id="7" w:name="בא_כוח_א"/>
            <w:bookmarkEnd w:id="6"/>
            <w:bookmarkEnd w:id="7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חוסין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אניס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ריאד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10" w:name="כינוי_ב"/>
            <w:bookmarkEnd w:id="10"/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wTable"/>
      <w:bookmarkStart w:id="12" w:name="LawTable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)+(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335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340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5" w:name="LastJudge"/>
      <w:bookmarkStart w:id="16" w:name="צד_ג"/>
      <w:bookmarkStart w:id="17" w:name="PsakDin"/>
      <w:bookmarkStart w:id="18" w:name="סוג_מסמך"/>
      <w:bookmarkEnd w:id="15"/>
      <w:bookmarkEnd w:id="16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hanging="567" w:start="567" w:end="0"/>
        <w:jc w:val="both"/>
        <w:rPr/>
      </w:pPr>
      <w:bookmarkStart w:id="21" w:name="סוג_מסמך"/>
      <w:bookmarkEnd w:id="21"/>
      <w:r>
        <w:rPr/>
        <w:t>1</w:t>
      </w:r>
      <w:r>
        <w:rPr>
          <w:rtl w:val="true"/>
        </w:rPr>
        <w:t>.</w:t>
        <w:tab/>
      </w:r>
      <w:bookmarkStart w:id="22" w:name="ABSTRACT_START"/>
      <w:bookmarkEnd w:id="2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8"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)+(</w:t>
        </w:r>
      </w:hyperlink>
      <w:hyperlink r:id="rId9"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</w:hyperlink>
      <w:r>
        <w:rPr>
          <w:rStyle w:val="Hyperlink"/>
          <w:b/>
          <w:bCs/>
          <w:color w:val="0000FF"/>
          <w:u w:val="single"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0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-"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"),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333+</w:t>
      </w:r>
      <w:hyperlink r:id="rId11">
        <w:r>
          <w:rPr>
            <w:rStyle w:val="Hyperlink"/>
            <w:b/>
            <w:bCs/>
            <w:color w:val="0000FF"/>
            <w:u w:val="single"/>
          </w:rPr>
          <w:t>335</w:t>
        </w:r>
      </w:hyperlink>
      <w:hyperlink r:id="rId12"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</w:hyperlink>
      <w:r>
        <w:rPr>
          <w:rStyle w:val="Hyperlink"/>
          <w:b/>
          <w:b/>
          <w:bCs/>
          <w:color w:val="0000FF"/>
          <w:u w:val="single"/>
          <w:rtl w:val="true"/>
        </w:rPr>
        <w:t>א</w:t>
      </w:r>
      <w:r>
        <w:rPr>
          <w:rStyle w:val="Hyperlink"/>
          <w:b/>
          <w:bCs/>
          <w:color w:val="0000FF"/>
          <w:u w:val="single"/>
          <w:rtl w:val="true"/>
        </w:rPr>
        <w:t>)(</w:t>
      </w:r>
      <w:r>
        <w:rPr>
          <w:rStyle w:val="Hyperlink"/>
          <w:b/>
          <w:bCs/>
          <w:color w:val="0000FF"/>
          <w:u w:val="single"/>
        </w:rPr>
        <w:t>1</w:t>
      </w:r>
      <w:r>
        <w:rPr>
          <w:rStyle w:val="Hyperlink"/>
          <w:b/>
          <w:bCs/>
          <w:color w:val="0000FF"/>
          <w:u w:val="single"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340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bookmarkStart w:id="23" w:name="ABSTRACT_END"/>
      <w:bookmarkEnd w:id="23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חותנו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ind w:start="567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567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start="567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start="567"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אחיה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567" w:end="0"/>
        <w:jc w:val="both"/>
        <w:rPr/>
      </w:pPr>
      <w:r>
        <w:rPr>
          <w:rtl w:val="true"/>
        </w:rPr>
      </w:r>
    </w:p>
    <w:p>
      <w:pPr>
        <w:pStyle w:val="Normal"/>
        <w:ind w:start="567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</w:p>
    <w:p>
      <w:pPr>
        <w:pStyle w:val="Normal"/>
        <w:ind w:start="567" w:end="0"/>
        <w:jc w:val="both"/>
        <w:rPr/>
      </w:pPr>
      <w:r>
        <w:rPr>
          <w:rtl w:val="true"/>
        </w:rPr>
      </w:r>
    </w:p>
    <w:p>
      <w:pPr>
        <w:pStyle w:val="Normal"/>
        <w:ind w:start="567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תמר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tl w:val="true"/>
        </w:rPr>
        <w:t xml:space="preserve">,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701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. </w:t>
      </w:r>
    </w:p>
    <w:p>
      <w:pPr>
        <w:pStyle w:val="Normal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ind w:start="1134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חותנו</w:t>
      </w:r>
      <w:r>
        <w:rPr>
          <w:rtl w:val="true"/>
        </w:rPr>
        <w:t xml:space="preserve">. </w:t>
      </w:r>
    </w:p>
    <w:p>
      <w:pPr>
        <w:pStyle w:val="Normal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וחותנתו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בודדה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מתאורי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מוצאה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חרוץ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אמביציוזיים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וחשדניים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אובדנים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והתבגר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קיפוח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לאמביציה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ולהשגיות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וחברתית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ומאידך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עוררו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מאובדנים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עוררה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והציפה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: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Style15"/>
        <w:ind w:start="1701" w:end="567"/>
        <w:jc w:val="both"/>
        <w:rPr/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ברצוננו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התלבטותינו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הנכבד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מחד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מאידך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מורכבת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ובעייתית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וביחסיו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הגרעינית</w:t>
      </w:r>
      <w:r>
        <w:rPr>
          <w:b/>
          <w:bCs/>
          <w:rtl w:val="true"/>
        </w:rPr>
        <w:t xml:space="preserve">. </w:t>
      </w:r>
    </w:p>
    <w:p>
      <w:pPr>
        <w:pStyle w:val="Style15"/>
        <w:ind w:start="1701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5"/>
        <w:ind w:start="1701" w:end="567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ניזקקות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והרחקתו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ממשוכת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אלמנטים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2"/>
        <w:ind w:end="0"/>
        <w:jc w:val="both"/>
        <w:rPr/>
      </w:pPr>
      <w:r>
        <w:rPr>
          <w:sz w:val="20"/>
        </w:rPr>
        <w:t>3</w:t>
      </w:r>
      <w:r>
        <w:rPr>
          <w:sz w:val="20"/>
          <w:rtl w:val="true"/>
        </w:rPr>
        <w:t>.</w:t>
        <w:tab/>
      </w:r>
      <w:r>
        <w:rPr>
          <w:sz w:val="20"/>
          <w:sz w:val="20"/>
          <w:u w:val="single"/>
          <w:rtl w:val="true"/>
        </w:rPr>
        <w:t>טענות</w:t>
      </w:r>
      <w:r>
        <w:rPr>
          <w:rFonts w:cs="Times New Roman"/>
          <w:sz w:val="20"/>
          <w:sz w:val="20"/>
          <w:u w:val="single"/>
          <w:rtl w:val="true"/>
        </w:rPr>
        <w:t xml:space="preserve"> </w:t>
      </w:r>
      <w:r>
        <w:rPr>
          <w:sz w:val="20"/>
          <w:sz w:val="20"/>
          <w:u w:val="single"/>
          <w:rtl w:val="true"/>
        </w:rPr>
        <w:t>המאשימה</w:t>
      </w:r>
      <w:r>
        <w:rPr>
          <w:rFonts w:cs="Times New Roman"/>
          <w:sz w:val="20"/>
          <w:sz w:val="20"/>
          <w:u w:val="single"/>
          <w:rtl w:val="true"/>
        </w:rPr>
        <w:t xml:space="preserve"> </w:t>
      </w:r>
      <w:r>
        <w:rPr>
          <w:sz w:val="20"/>
          <w:sz w:val="20"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sz w:val="20"/>
          <w:u w:val="single"/>
        </w:rPr>
      </w:pPr>
      <w:r>
        <w:rPr>
          <w:sz w:val="20"/>
          <w:u w:val="single"/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מאשה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פיקוס</w:t>
      </w:r>
      <w:r>
        <w:rPr>
          <w:rtl w:val="true"/>
        </w:rPr>
        <w:t xml:space="preserve">,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פיקוס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ופוצעים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לשיקאגו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ויחמירו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הפוטנציאלים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ממושכת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שנחבל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ריאד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המפורטת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ומשפחה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21.5.02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5.7.02</w:t>
      </w:r>
      <w:r>
        <w:rPr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ולטרוניותיו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ind w:hanging="1134" w:start="113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tl w:val="true"/>
        </w:rPr>
        <w:tab/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8.3.05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08.30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ותזמין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כאמור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לעיל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hanging="1134" w:start="113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ותודיעו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לזכותו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b/>
          <w:b/>
          <w:bCs/>
          <w:rtl w:val="true"/>
        </w:rPr>
        <w:t>פיסקה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הושמעה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בפומבי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וסניגורו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לינא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בשבט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30/01/2005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1944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4"/>
      </w:tblGrid>
      <w:tr>
        <w:trPr/>
        <w:tc>
          <w:tcPr>
            <w:tcW w:w="194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גרשון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./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  <w:tab/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הסניגור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סאבא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26"/>
          <w:szCs w:val="28"/>
        </w:rPr>
      </w:pPr>
      <w:bookmarkStart w:id="24" w:name="Decision1"/>
      <w:bookmarkEnd w:id="24"/>
      <w:r>
        <w:rPr>
          <w:sz w:val="26"/>
          <w:sz w:val="26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6"/>
          <w:szCs w:val="28"/>
        </w:rPr>
      </w:pPr>
      <w:r>
        <w:rPr>
          <w:sz w:val="26"/>
          <w:szCs w:val="28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1.2.05</w:t>
      </w:r>
      <w:r>
        <w:rPr>
          <w:rtl w:val="true"/>
        </w:rPr>
        <w:t xml:space="preserve"> </w:t>
      </w:r>
      <w:r>
        <w:rPr>
          <w:rtl w:val="true"/>
        </w:rPr>
        <w:t>ומדי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לאלתר</w:t>
      </w:r>
      <w:r>
        <w:rPr>
          <w:rtl w:val="true"/>
        </w:rPr>
        <w:t xml:space="preserve">,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1944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4"/>
      </w:tblGrid>
      <w:tr>
        <w:trPr/>
        <w:tc>
          <w:tcPr>
            <w:tcW w:w="194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גרשון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bookmarkStart w:id="25" w:name="Decision1"/>
      <w:bookmarkEnd w:id="25"/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/Users/liorb/Downloads/study2025-p2/m02000274-512.doc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274/02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חוסין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</w:tabs>
      <w:ind w:hanging="0" w:start="567" w:end="0"/>
      <w:jc w:val="both"/>
    </w:pPr>
    <w:rPr/>
  </w:style>
  <w:style w:type="paragraph" w:styleId="BodyTextIndent2">
    <w:name w:val="Body Text Indent 2"/>
    <w:basedOn w:val="Normal"/>
    <w:qFormat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</w:tabs>
      <w:ind w:hanging="0" w:start="567" w:end="0"/>
      <w:jc w:val="both"/>
    </w:pPr>
    <w:rPr/>
  </w:style>
  <w:style w:type="paragraph" w:styleId="BodyTextIndent3">
    <w:name w:val="Body Text Indent 3"/>
    <w:basedOn w:val="Normal"/>
    <w:qFormat/>
    <w:pPr>
      <w:ind w:hanging="0" w:start="567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ציטוט"/>
    <w:basedOn w:val="Normal"/>
    <w:qFormat/>
    <w:pPr>
      <w:ind w:hanging="0" w:start="0" w:end="0"/>
      <w:jc w:val="both"/>
    </w:pPr>
    <w:rPr>
      <w:b/>
      <w:bCs/>
      <w:sz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5">
    <w:name w:val="צטוט"/>
    <w:basedOn w:val="Normal"/>
    <w:qFormat/>
    <w:pPr>
      <w:ind w:hanging="567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3.a.1" TargetMode="External"/><Relationship Id="rId6" Type="http://schemas.openxmlformats.org/officeDocument/2006/relationships/hyperlink" Target="http://www.nevo.co.il/law/70301/335" TargetMode="External"/><Relationship Id="rId7" Type="http://schemas.openxmlformats.org/officeDocument/2006/relationships/hyperlink" Target="http://www.nevo.co.il/law/70301/340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35" TargetMode="External"/><Relationship Id="rId12" Type="http://schemas.openxmlformats.org/officeDocument/2006/relationships/hyperlink" Target="http://www.nevo.co.il/law/70301/333.a.1" TargetMode="External"/><Relationship Id="rId13" Type="http://schemas.openxmlformats.org/officeDocument/2006/relationships/hyperlink" Target="http://www.nevo.co.il/law/70301/340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2016-12-01T16:20:00Z</dcterms:created>
  <dc:creator> </dc:creator>
  <dc:description/>
  <cp:keywords/>
  <dc:language>en-IL</dc:language>
  <cp:lastModifiedBy>hofit</cp:lastModifiedBy>
  <dcterms:modified xsi:type="dcterms:W3CDTF">2016-12-01T16:20:00Z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אבו חוסין</vt:lpwstr>
  </property>
  <property fmtid="{D5CDD505-2E9C-101B-9397-08002B2CF9AE}" pid="4" name="CITY">
    <vt:lpwstr>חי'</vt:lpwstr>
  </property>
  <property fmtid="{D5CDD505-2E9C-101B-9397-08002B2CF9AE}" pid="5" name="DATE">
    <vt:lpwstr>20050130</vt:lpwstr>
  </property>
  <property fmtid="{D5CDD505-2E9C-101B-9397-08002B2CF9AE}" pid="6" name="ISABSTRACT">
    <vt:lpwstr>Y</vt:lpwstr>
  </property>
  <property fmtid="{D5CDD505-2E9C-101B-9397-08002B2CF9AE}" pid="7" name="JUDGE">
    <vt:lpwstr>עודד גרשון</vt:lpwstr>
  </property>
  <property fmtid="{D5CDD505-2E9C-101B-9397-08002B2CF9AE}" pid="8" name="LAWLISTTMP1">
    <vt:lpwstr>70301/144.a;144.b;335;333.a.1;340</vt:lpwstr>
  </property>
  <property fmtid="{D5CDD505-2E9C-101B-9397-08002B2CF9AE}" pid="9" name="LAWYER">
    <vt:lpwstr>אניס ריאד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274</vt:lpwstr>
  </property>
  <property fmtid="{D5CDD505-2E9C-101B-9397-08002B2CF9AE}" pid="27" name="PROCYEAR">
    <vt:lpwstr>02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8</vt:lpwstr>
  </property>
</Properties>
</file>