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4"/>
        <w:gridCol w:w="680"/>
        <w:gridCol w:w="4972"/>
        <w:gridCol w:w="63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003071/04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02/12/2004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ברכה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בר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זיו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5" w:name="כינוי_א"/>
            <w:bookmarkStart w:id="6" w:name="בא_כוח_א"/>
            <w:bookmarkEnd w:id="5"/>
            <w:bookmarkEnd w:id="6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מסארווה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040675934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1980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כפר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טייבה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9" w:name="בא_כוח_ב"/>
            <w:bookmarkStart w:id="10" w:name="כינוי_ב"/>
            <w:bookmarkEnd w:id="9"/>
            <w:bookmarkEnd w:id="10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bookmarkStart w:id="11" w:name="FirstLawyer"/>
            <w:bookmarkEnd w:id="11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תורג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מן</w:t>
            </w:r>
          </w:p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בארה</w:t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צד_ג"/>
      <w:bookmarkStart w:id="13" w:name="צד_ג"/>
      <w:bookmarkEnd w:id="13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צד_ג"/>
      <w:bookmarkStart w:id="16" w:name="PsakDin"/>
      <w:bookmarkStart w:id="17" w:name="סוג_מסמך"/>
      <w:bookmarkEnd w:id="14"/>
      <w:bookmarkEnd w:id="15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bookmarkStart w:id="18" w:name="PsakDin"/>
      <w:bookmarkStart w:id="19" w:name="ABSTRACT_START"/>
      <w:bookmarkEnd w:id="18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  <w:bookmarkStart w:id="20" w:name="ABSTRACT_END"/>
      <w:bookmarkStart w:id="21" w:name="ABSTRACT_END"/>
      <w:bookmarkEnd w:id="21"/>
    </w:p>
    <w:p>
      <w:pPr>
        <w:pStyle w:val="Normal"/>
        <w:ind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22.4.04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14.7.04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).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).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u w:val="single"/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בפלא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8950857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052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u w:val="single"/>
        </w:rPr>
      </w:pP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26.12.04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12.30</w:t>
      </w:r>
      <w:r>
        <w:rPr>
          <w:u w:val="single"/>
          <w:rtl w:val="true"/>
        </w:rPr>
        <w:t xml:space="preserve">. </w:t>
      </w:r>
    </w:p>
    <w:p>
      <w:pPr>
        <w:pStyle w:val="Normal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2" w:name="סוג_מסמך"/>
      <w:bookmarkStart w:id="23" w:name="סוג_מסמך"/>
      <w:bookmarkEnd w:id="23"/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02/12/2004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ב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בר</w:t>
            </w:r>
            <w:r>
              <w:rPr>
                <w:b/>
                <w:bCs/>
                <w:color w:val="000000"/>
                <w:rtl w:val="true"/>
              </w:rPr>
              <w:t>-</w:t>
            </w:r>
            <w:r>
              <w:rPr>
                <w:b/>
                <w:b/>
                <w:bCs/>
                <w:color w:val="000000"/>
                <w:rtl w:val="true"/>
              </w:rPr>
              <w:t>זיו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Cs w:val="18"/>
        </w:rPr>
        <w:t>003071/04</w:t>
      </w:r>
      <w:r>
        <w:rPr>
          <w:sz w:val="16"/>
          <w:sz w:val="16"/>
          <w:szCs w:val="18"/>
          <w:rtl w:val="true"/>
        </w:rPr>
        <w:t>פ</w:t>
      </w:r>
      <w:r>
        <w:rPr>
          <w:rFonts w:cs="Times New Roman"/>
          <w:sz w:val="16"/>
          <w:sz w:val="16"/>
          <w:szCs w:val="18"/>
          <w:rtl w:val="true"/>
        </w:rPr>
        <w:t xml:space="preserve">  </w:t>
      </w:r>
      <w:r>
        <w:rPr>
          <w:sz w:val="16"/>
          <w:szCs w:val="18"/>
        </w:rPr>
        <w:t>051</w:t>
      </w:r>
      <w:r>
        <w:rPr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עדי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שטרית</w:t>
      </w:r>
    </w:p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 w:val="16"/>
          <w:szCs w:val="18"/>
          <w:rtl w:val="true"/>
        </w:rPr>
        <w:t>נוסח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מסמך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זה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כפוף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לשינויי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ניסוח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/Users/liorb/Downloads/study2025-p2/m04003071-477.doc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3071/04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איברהים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2004-12-04T20:42:00Z</dcterms:created>
  <dc:creator> </dc:creator>
  <dc:description/>
  <dc:language>en-IL</dc:language>
  <cp:lastModifiedBy>nevo</cp:lastModifiedBy>
  <cp:lastPrinted>2004-12-02T09:20:00Z</cp:lastPrinted>
  <dcterms:modified xsi:type="dcterms:W3CDTF">2004-12-05T08:57:00Z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סאלח בן איברהים מסארווה</vt:lpwstr>
  </property>
  <property fmtid="{D5CDD505-2E9C-101B-9397-08002B2CF9AE}" pid="4" name="CITY">
    <vt:lpwstr>חי'</vt:lpwstr>
  </property>
  <property fmtid="{D5CDD505-2E9C-101B-9397-08002B2CF9AE}" pid="5" name="DATE">
    <vt:lpwstr>20041202</vt:lpwstr>
  </property>
  <property fmtid="{D5CDD505-2E9C-101B-9397-08002B2CF9AE}" pid="6" name="ISABSTRACT">
    <vt:lpwstr>Y</vt:lpwstr>
  </property>
  <property fmtid="{D5CDD505-2E9C-101B-9397-08002B2CF9AE}" pid="7" name="JUDGE">
    <vt:lpwstr>ברכה בר-זיו</vt:lpwstr>
  </property>
  <property fmtid="{D5CDD505-2E9C-101B-9397-08002B2CF9AE}" pid="8" name="LAWYER">
    <vt:lpwstr>גב' תורג'מן;ג'בארה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3071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