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</w:rPr>
      </w:pPr>
      <w:bookmarkStart w:id="0" w:name="LastJudge"/>
      <w:bookmarkEnd w:id="0"/>
      <w:r>
        <w:rPr>
          <w:rFonts w:cs="Times New Roman"/>
          <w:b/>
          <w:bCs/>
          <w:rtl w:val="true"/>
        </w:rPr>
        <w:t xml:space="preserve">    </w:t>
      </w:r>
    </w:p>
    <w:p>
      <w:pPr>
        <w:pStyle w:val="Normal"/>
        <w:spacing w:lineRule="auto" w:line="240"/>
        <w:ind w:end="0"/>
        <w:jc w:val="center"/>
        <w:rPr>
          <w:b/>
          <w:bCs/>
        </w:rPr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8506" w:type="dxa"/>
        <w:jc w:val="start"/>
        <w:tblInd w:w="2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9"/>
        <w:gridCol w:w="4848"/>
        <w:gridCol w:w="822"/>
        <w:gridCol w:w="2127"/>
      </w:tblGrid>
      <w:tr>
        <w:trPr>
          <w:trHeight w:val="195" w:hRule="atLeast"/>
        </w:trPr>
        <w:tc>
          <w:tcPr>
            <w:tcW w:w="8506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55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חיפה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003563/03</w:t>
            </w:r>
          </w:p>
        </w:tc>
      </w:tr>
      <w:tr>
        <w:trPr>
          <w:trHeight w:val="195" w:hRule="atLeast"/>
          <w:cantSplit w:val="true"/>
        </w:trPr>
        <w:tc>
          <w:tcPr>
            <w:tcW w:w="555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ניצה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שרון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07/09/2005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p>
      <w:pPr>
        <w:pStyle w:val="Header"/>
        <w:spacing w:lineRule="auto" w:line="240"/>
        <w:ind w:end="0"/>
        <w:jc w:val="start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p>
      <w:pPr>
        <w:pStyle w:val="Style7"/>
        <w:spacing w:lineRule="auto" w:line="240"/>
        <w:ind w:end="0"/>
        <w:jc w:val="both"/>
        <w:rPr>
          <w:b w:val="false"/>
          <w:bCs w:val="false"/>
          <w:szCs w:val="20"/>
        </w:rPr>
      </w:pPr>
      <w:r>
        <w:rPr>
          <w:b w:val="false"/>
          <w:bCs w:val="false"/>
          <w:szCs w:val="20"/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324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32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324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  <w:p>
            <w:pPr>
              <w:pStyle w:val="Style7"/>
              <w:spacing w:lineRule="auto" w:line="240"/>
              <w:ind w:end="0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  <w:t xml:space="preserve">- </w:t>
            </w:r>
            <w:r>
              <w:rPr>
                <w:sz w:val="26"/>
                <w:sz w:val="26"/>
                <w:szCs w:val="28"/>
                <w:rtl w:val="true"/>
              </w:rPr>
              <w:t>נ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ג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Cs w:val="28"/>
                <w:rtl w:val="true"/>
              </w:rPr>
              <w:t xml:space="preserve">- </w:t>
            </w:r>
          </w:p>
          <w:p>
            <w:pPr>
              <w:pStyle w:val="Style7"/>
              <w:spacing w:lineRule="auto" w:line="240"/>
              <w:ind w:end="0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2324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Style7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כרים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נעימה</w:t>
            </w:r>
          </w:p>
        </w:tc>
        <w:tc>
          <w:tcPr>
            <w:tcW w:w="2324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324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7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7230"/>
      </w:tblGrid>
      <w:tr>
        <w:trPr/>
        <w:tc>
          <w:tcPr>
            <w:tcW w:w="1276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4"/>
              </w:rPr>
            </w:pPr>
            <w:bookmarkStart w:id="4" w:name="FirstLawyer"/>
            <w:bookmarkEnd w:id="4"/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סמדר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קליין</w:t>
            </w:r>
          </w:p>
          <w:p>
            <w:pPr>
              <w:pStyle w:val="Style7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ענאן</w:t>
            </w:r>
          </w:p>
          <w:p>
            <w:pPr>
              <w:pStyle w:val="Style7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פרק יא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9" w:name="סוג_מסמך"/>
      <w:bookmarkStart w:id="10" w:name="סוג_מסמך"/>
      <w:bookmarkEnd w:id="10"/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1" w:name="LastJudge"/>
      <w:bookmarkStart w:id="12" w:name="PsakDin"/>
      <w:bookmarkEnd w:id="11"/>
      <w:bookmarkEnd w:id="1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Heading4"/>
        <w:ind w:end="0"/>
        <w:jc w:val="both"/>
        <w:rPr/>
      </w:pPr>
      <w:r>
        <w:rPr>
          <w:rtl w:val="true"/>
        </w:rPr>
        <w:t>המבוא</w:t>
      </w:r>
      <w:r>
        <w:rPr>
          <w:rtl w:val="true"/>
        </w:rPr>
        <w:t>:</w:t>
      </w:r>
    </w:p>
    <w:p>
      <w:pPr>
        <w:pStyle w:val="Style11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הורשע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עפ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הודאתו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שבכתב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האישום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שהינן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כדלקמן</w:t>
      </w:r>
      <w:r>
        <w:rPr>
          <w:sz w:val="20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ראשון</w:t>
      </w:r>
      <w:r>
        <w:rPr>
          <w:b/>
          <w:bCs/>
          <w:u w:val="single"/>
          <w:rtl w:val="true"/>
        </w:rPr>
        <w:t>:</w:t>
      </w:r>
      <w:r>
        <w:rPr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color w:val="FFFFFF"/>
          <w:sz w:val="4"/>
          <w:szCs w:val="4"/>
          <w:u w:val="single"/>
        </w:rPr>
      </w:pPr>
      <w:r>
        <w:rPr>
          <w:color w:val="FFFFFF"/>
          <w:sz w:val="4"/>
          <w:szCs w:val="4"/>
          <w:u w:val="single"/>
          <w:rtl w:val="true"/>
        </w:rPr>
      </w:r>
    </w:p>
    <w:p>
      <w:pPr>
        <w:pStyle w:val="Normal"/>
        <w:ind w:end="0"/>
        <w:jc w:val="both"/>
        <w:rPr/>
      </w:pPr>
      <w:bookmarkStart w:id="15" w:name="ABSTRACT_START"/>
      <w:bookmarkEnd w:id="15"/>
      <w:r>
        <w:rPr>
          <w:rtl w:val="true"/>
        </w:rPr>
        <w:t>העובדות</w:t>
      </w:r>
      <w:r>
        <w:rPr>
          <w:rtl w:val="true"/>
        </w:rPr>
        <w:t xml:space="preserve">: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2.10.03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2:12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מסדה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bookmarkStart w:id="16" w:name="ABSTRACT_END"/>
      <w:bookmarkEnd w:id="16"/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המתייחסת</w:t>
      </w:r>
      <w:r>
        <w:rPr>
          <w:rtl w:val="true"/>
        </w:rPr>
        <w:t xml:space="preserve">: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העובדות</w:t>
      </w:r>
      <w:r>
        <w:rPr>
          <w:rtl w:val="true"/>
        </w:rPr>
        <w:t xml:space="preserve">: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3.10.03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1:50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גלויות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שבאמצעות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4:10</w:t>
      </w:r>
      <w:r>
        <w:rPr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המנעול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שקצהו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וקצהו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1.8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1"/>
        <w:ind w:end="0"/>
        <w:jc w:val="both"/>
        <w:rPr/>
      </w:pPr>
      <w:r>
        <w:rPr>
          <w:sz w:val="20"/>
          <w:sz w:val="20"/>
          <w:rtl w:val="true"/>
        </w:rPr>
        <w:t>הוראות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החיקוק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המתייחסות</w:t>
      </w:r>
      <w:r>
        <w:rPr>
          <w:sz w:val="20"/>
          <w:rtl w:val="true"/>
        </w:rPr>
        <w:t xml:space="preserve">: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תפילה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Style11"/>
        <w:ind w:end="0"/>
        <w:jc w:val="both"/>
        <w:rPr/>
      </w:pP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+ </w:t>
      </w:r>
      <w:hyperlink r:id="rId22"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שלישי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  <w:t>העובדות</w:t>
      </w:r>
      <w:r>
        <w:rPr>
          <w:rtl w:val="true"/>
        </w:rPr>
        <w:t xml:space="preserve">: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5.10.03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9:10</w:t>
      </w:r>
      <w:r>
        <w:rPr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נדלר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9.10.03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עציון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החוקית</w:t>
      </w:r>
      <w:r>
        <w:rPr>
          <w:rtl w:val="true"/>
        </w:rPr>
        <w:t>").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22:48</w:t>
      </w:r>
      <w:r>
        <w:rPr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החלוץ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לוטם</w:t>
      </w:r>
      <w:r>
        <w:rPr>
          <w:rtl w:val="true"/>
        </w:rPr>
        <w:t xml:space="preserve">"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יעקובוב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.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כשהודיע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,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איידס</w:t>
      </w:r>
      <w:r>
        <w:rPr>
          <w:rtl w:val="true"/>
        </w:rPr>
        <w:t xml:space="preserve">",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מתנדבים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המתייחסות</w:t>
      </w:r>
      <w:r>
        <w:rPr>
          <w:rtl w:val="true"/>
        </w:rPr>
        <w:t xml:space="preserve">: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תפילה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7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צירוף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תיקים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צורפו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Style11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1248/04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/>
        <w:t>31190/00</w:t>
      </w:r>
      <w:r>
        <w:rPr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הכלא</w:t>
      </w:r>
      <w:r>
        <w:rPr>
          <w:rtl w:val="true"/>
        </w:rPr>
        <w:t>").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המועדים</w:t>
      </w:r>
      <w:r>
        <w:rPr>
          <w:rFonts w:cs="Times New Roman"/>
          <w:rtl w:val="true"/>
        </w:rPr>
        <w:t xml:space="preserve"> </w:t>
      </w:r>
      <w:r>
        <w:rPr/>
        <w:t>13.8.00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14:30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15.8.00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14:30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16.8.00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14:40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הדרים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14:40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/>
        <w:t>25.757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קאנבוס</w:t>
      </w:r>
      <w:r>
        <w:rPr>
          <w:rtl w:val="true"/>
        </w:rPr>
        <w:t xml:space="preserve">,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3.5361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המתייחסת</w:t>
      </w:r>
      <w:r>
        <w:rPr>
          <w:rtl w:val="true"/>
        </w:rPr>
        <w:t xml:space="preserve">: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6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/>
      </w:pPr>
      <w:hyperlink r:id="rId38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4693/04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5586/99</w:t>
      </w:r>
      <w:r>
        <w:rPr>
          <w:rtl w:val="true"/>
        </w:rPr>
        <w:t xml:space="preserve"> -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Style11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העובדות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שפורטו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בכתב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האישום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בתיק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הינן</w:t>
      </w:r>
      <w:r>
        <w:rPr>
          <w:sz w:val="20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23.4.99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24.4.99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לאולפן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אמונה</w:t>
      </w:r>
      <w:r>
        <w:rPr>
          <w:rtl w:val="true"/>
        </w:rPr>
        <w:t xml:space="preserve">"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הגיבורים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Style11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הוראת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החיקוק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המתייחסות</w:t>
      </w:r>
      <w:r>
        <w:rPr>
          <w:sz w:val="20"/>
          <w:rtl w:val="true"/>
        </w:rPr>
        <w:t xml:space="preserve">: </w:t>
      </w:r>
      <w:r>
        <w:rPr>
          <w:sz w:val="20"/>
          <w:sz w:val="20"/>
          <w:rtl w:val="true"/>
        </w:rPr>
        <w:t>פריצה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לבניין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שאינו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תפילה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עבירה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hyperlink r:id="rId39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u w:val="single"/>
          </w:rPr>
          <w:t>407</w:t>
        </w:r>
        <w:r>
          <w:rPr>
            <w:rStyle w:val="Hyperlink"/>
            <w:color w:val="0000FF"/>
            <w:sz w:val="20"/>
            <w:u w:val="single"/>
            <w:rtl w:val="true"/>
          </w:rPr>
          <w:t>(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א</w:t>
        </w:r>
        <w:r>
          <w:rPr>
            <w:rStyle w:val="Hyperlink"/>
            <w:color w:val="0000FF"/>
            <w:sz w:val="20"/>
            <w:u w:val="single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</w:t>
      </w:r>
      <w:hyperlink r:id="rId40">
        <w:r>
          <w:rPr>
            <w:rStyle w:val="Hyperlink"/>
            <w:sz w:val="20"/>
            <w:sz w:val="20"/>
            <w:rtl w:val="true"/>
          </w:rPr>
          <w:t>חוק</w:t>
        </w:r>
        <w:r>
          <w:rPr>
            <w:rStyle w:val="Hyperlink"/>
            <w:rFonts w:cs="Times New Roman"/>
            <w:sz w:val="20"/>
            <w:sz w:val="20"/>
            <w:rtl w:val="true"/>
          </w:rPr>
          <w:t xml:space="preserve"> </w:t>
        </w:r>
        <w:r>
          <w:rPr>
            <w:rStyle w:val="Hyperlink"/>
            <w:sz w:val="20"/>
            <w:sz w:val="20"/>
            <w:rtl w:val="true"/>
          </w:rPr>
          <w:t>העונשין</w:t>
        </w:r>
      </w:hyperlink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תשל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ז</w:t>
      </w:r>
      <w:r>
        <w:rPr>
          <w:sz w:val="20"/>
          <w:rtl w:val="true"/>
        </w:rPr>
        <w:t>-</w:t>
      </w:r>
      <w:r>
        <w:rPr>
          <w:sz w:val="20"/>
        </w:rPr>
        <w:t>1977</w:t>
      </w:r>
      <w:r>
        <w:rPr>
          <w:sz w:val="2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שצורפו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: </w:t>
      </w:r>
      <w:r>
        <w:rPr>
          <w:rtl w:val="true"/>
        </w:rPr>
        <w:t>התפרצויות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רובן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שצורפו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נרקומן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3.4.05</w:t>
      </w:r>
      <w:r>
        <w:rPr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ולהיגמל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    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העכור</w:t>
      </w:r>
      <w:r>
        <w:rPr>
          <w:rtl w:val="true"/>
        </w:rPr>
        <w:t xml:space="preserve">"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שבצידה</w:t>
      </w:r>
      <w:r>
        <w:rPr>
          <w:rtl w:val="true"/>
        </w:rPr>
        <w:t xml:space="preserve">. </w:t>
      </w:r>
      <w:r>
        <w:rPr>
          <w:rtl w:val="true"/>
        </w:rPr>
        <w:t>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תמנע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האינדיווידואלי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מהשיקולים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משנהו</w:t>
      </w:r>
      <w:r>
        <w:rPr>
          <w:rtl w:val="true"/>
        </w:rPr>
        <w:t xml:space="preserve">.    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" </w:t>
      </w:r>
      <w:r>
        <w:rPr>
          <w:rtl w:val="true"/>
        </w:rPr>
        <w:t>והעובדת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tl w:val="true"/>
        </w:rPr>
        <w:t xml:space="preserve">,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לאישפוזית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ריחפו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Style11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u w:val="single"/>
          <w:rtl w:val="true"/>
        </w:rPr>
        <w:t>בע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פ</w:t>
      </w:r>
      <w:r>
        <w:rPr>
          <w:rFonts w:cs="Times New Roman"/>
          <w:u w:val="single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</w:rPr>
          <w:t>359/81</w:t>
        </w:r>
      </w:hyperlink>
      <w:r>
        <w:rPr>
          <w:u w:val="single"/>
          <w:rtl w:val="true"/>
        </w:rPr>
        <w:t xml:space="preserve">, </w:t>
      </w:r>
      <w:r>
        <w:rPr>
          <w:u w:val="single"/>
        </w:rPr>
        <w:t>344/81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שחר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סגל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ואברהם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עבדיאל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313</w:t>
      </w:r>
      <w:r>
        <w:rPr>
          <w:rtl w:val="true"/>
        </w:rPr>
        <w:t xml:space="preserve">,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8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ואוטומטיות</w:t>
      </w:r>
      <w:r>
        <w:rPr>
          <w:rtl w:val="true"/>
        </w:rPr>
        <w:t xml:space="preserve">". </w:t>
      </w:r>
    </w:p>
    <w:p>
      <w:pPr>
        <w:pStyle w:val="Style8"/>
        <w:ind w:end="567"/>
        <w:jc w:val="both"/>
        <w:rPr/>
      </w:pPr>
      <w:r>
        <w:rPr>
          <w:rtl w:val="true"/>
        </w:rPr>
      </w:r>
    </w:p>
    <w:p>
      <w:pPr>
        <w:pStyle w:val="Style8"/>
        <w:ind w:end="567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u w:val="single"/>
          <w:rtl w:val="true"/>
        </w:rPr>
        <w:t>ב</w:t>
      </w:r>
      <w:hyperlink r:id="rId4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212/79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לד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421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8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כלליים</w:t>
      </w:r>
      <w:r>
        <w:rPr>
          <w:rtl w:val="true"/>
        </w:rPr>
        <w:t xml:space="preserve">.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האינדיווידואלית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והתגמול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7" w:name="סוג_מסמך"/>
      <w:bookmarkStart w:id="18" w:name="סוג_מסמך"/>
      <w:bookmarkEnd w:id="18"/>
    </w:p>
    <w:p>
      <w:pPr>
        <w:pStyle w:val="Normal"/>
        <w:ind w:end="0"/>
        <w:jc w:val="both"/>
        <w:rPr/>
      </w:pP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המצורפים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2703/95</w:t>
      </w:r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6366/98</w:t>
      </w:r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5330/98</w:t>
      </w:r>
      <w:r>
        <w:rPr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: </w:t>
      </w:r>
      <w:hyperlink r:id="rId4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559/97</w:t>
        </w:r>
      </w:hyperlink>
      <w:r>
        <w:rPr>
          <w:rtl w:val="true"/>
        </w:rPr>
        <w:t xml:space="preserve"> 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6584/96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) - (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), </w:t>
      </w:r>
      <w:r>
        <w:rPr>
          <w:rtl w:val="true"/>
        </w:rPr>
        <w:t>שהוארכו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2959/98</w:t>
      </w:r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tl w:val="true"/>
        </w:rPr>
        <w:t xml:space="preserve">),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2959/98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29.7.98</w:t>
      </w:r>
      <w:r>
        <w:rPr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13.8.00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1571/98</w:t>
      </w:r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tl w:val="true"/>
        </w:rPr>
        <w:t xml:space="preserve">, </w:t>
      </w:r>
      <w:r>
        <w:rPr>
          <w:rtl w:val="true"/>
        </w:rPr>
        <w:t>מהטעם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באוקטובר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באפריל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1571/98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23.11.99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215/98</w:t>
      </w:r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tl w:val="true"/>
        </w:rPr>
        <w:t xml:space="preserve">, </w:t>
      </w:r>
      <w:r>
        <w:rPr>
          <w:rtl w:val="true"/>
        </w:rPr>
        <w:t>לפלוט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מתפוצצים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המנויים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באלול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בספטמבר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2005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1951" w:type="dxa"/>
        <w:jc w:val="start"/>
        <w:tblInd w:w="65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</w:tblGrid>
      <w:tr>
        <w:trPr/>
        <w:tc>
          <w:tcPr>
            <w:tcW w:w="19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ניצה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1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end="0"/>
        <w:jc w:val="start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עו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ענאן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מאחר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דחיה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לסדר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ניתוח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במשפחה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נהרג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</w:t>
      </w:r>
      <w:r>
        <w:rPr>
          <w:sz w:val="24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הנסיבות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לבקשתי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1"/>
        <w:spacing w:lineRule="auto" w:line="360"/>
        <w:ind w:end="0"/>
        <w:jc w:val="start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1"/>
        <w:spacing w:lineRule="auto" w:line="360"/>
        <w:ind w:end="0"/>
        <w:jc w:val="start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עו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קליין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1"/>
        <w:spacing w:lineRule="auto" w:line="36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שינתן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</w:t>
      </w:r>
      <w:r>
        <w:rPr>
          <w:sz w:val="24"/>
          <w:rtl w:val="true"/>
        </w:rPr>
        <w:t xml:space="preserve">. </w:t>
      </w:r>
    </w:p>
    <w:p>
      <w:pPr>
        <w:pStyle w:val="1"/>
        <w:spacing w:lineRule="auto" w:line="36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יפקיד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דרכונו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ערבויות</w:t>
      </w:r>
      <w:r>
        <w:rPr>
          <w:sz w:val="24"/>
          <w:rtl w:val="true"/>
        </w:rPr>
        <w:t xml:space="preserve">. </w:t>
      </w:r>
    </w:p>
    <w:p>
      <w:pPr>
        <w:pStyle w:val="1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ing1"/>
        <w:ind w:end="0"/>
        <w:jc w:val="center"/>
        <w:rPr/>
      </w:pPr>
      <w:bookmarkStart w:id="19" w:name="Decision2"/>
      <w:r>
        <w:rPr>
          <w:rtl w:val="true"/>
        </w:rPr>
        <w:t>החלטה</w:t>
      </w:r>
    </w:p>
    <w:p>
      <w:pPr>
        <w:pStyle w:val="Heading6"/>
        <w:ind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9.10.05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להבטחת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יפקיד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דרכונו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במשטרה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מיד</w:t>
      </w:r>
      <w:r>
        <w:rPr>
          <w:sz w:val="2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BodyText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יוצא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צו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עיכוב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יציאה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הארץ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כנגד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sz w:val="20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20"/>
        </w:rPr>
      </w:pPr>
      <w:r>
        <w:rPr>
          <w:b/>
          <w:bCs/>
          <w:sz w:val="20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למזכירות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לשלוח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החלטה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למשטרת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חיפה</w:t>
      </w:r>
      <w:r>
        <w:rPr>
          <w:b/>
          <w:bCs/>
          <w:u w:val="single"/>
          <w:rtl w:val="true"/>
        </w:rPr>
        <w:t xml:space="preserve">. 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באלול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</w:t>
      </w:r>
    </w:p>
    <w:tbl>
      <w:tblPr>
        <w:tblW w:w="1951" w:type="dxa"/>
        <w:jc w:val="start"/>
        <w:tblInd w:w="65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</w:tblGrid>
      <w:tr>
        <w:trPr/>
        <w:tc>
          <w:tcPr>
            <w:tcW w:w="19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ניצה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הקלדנית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עירית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.</w:t>
      </w:r>
      <w:bookmarkEnd w:id="19"/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נוסח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לשינויי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ועריכה</w:t>
      </w:r>
    </w:p>
    <w:sectPr>
      <w:headerReference w:type="default" r:id="rId52"/>
      <w:footerReference w:type="default" r:id="rId5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/Users/liorb/Downloads/study2025-p2/s03003563-130.doc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3563/03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כרים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נעימה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uppressLineNumbers/>
      <w:ind w:hanging="0" w:start="0" w:end="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8">
    <w:name w:val="צטוט"/>
    <w:basedOn w:val="Normal"/>
    <w:qFormat/>
    <w:pPr>
      <w:spacing w:lineRule="auto" w:line="240"/>
      <w:ind w:hanging="0" w:start="567" w:end="567"/>
      <w:jc w:val="both"/>
    </w:pPr>
    <w:rPr>
      <w:bCs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1">
    <w:name w:val="עירית תוכמה"/>
    <w:basedOn w:val="Normal"/>
    <w:qFormat/>
    <w:pPr>
      <w:ind w:hanging="0" w:start="0" w:end="0"/>
      <w:jc w:val="both"/>
    </w:pPr>
    <w:rPr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86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287" TargetMode="External"/><Relationship Id="rId8" Type="http://schemas.openxmlformats.org/officeDocument/2006/relationships/hyperlink" Target="http://www.nevo.co.il/law/70301/384" TargetMode="External"/><Relationship Id="rId9" Type="http://schemas.openxmlformats.org/officeDocument/2006/relationships/hyperlink" Target="http://www.nevo.co.il/law/70301/407.a" TargetMode="External"/><Relationship Id="rId10" Type="http://schemas.openxmlformats.org/officeDocument/2006/relationships/hyperlink" Target="http://www.nevo.co.il/law/70301/409" TargetMode="External"/><Relationship Id="rId11" Type="http://schemas.openxmlformats.org/officeDocument/2006/relationships/hyperlink" Target="http://www.nevo.co.il/law/70301/413" TargetMode="External"/><Relationship Id="rId12" Type="http://schemas.openxmlformats.org/officeDocument/2006/relationships/hyperlink" Target="http://www.nevo.co.il/law/70301/452" TargetMode="External"/><Relationship Id="rId13" Type="http://schemas.openxmlformats.org/officeDocument/2006/relationships/hyperlink" Target="http://www.nevo.co.il/law/70301/jaC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7.a" TargetMode="External"/><Relationship Id="rId16" Type="http://schemas.openxmlformats.org/officeDocument/2006/relationships/hyperlink" Target="http://www.nevo.co.il/law/4216/7.c" TargetMode="External"/><Relationship Id="rId17" Type="http://schemas.openxmlformats.org/officeDocument/2006/relationships/hyperlink" Target="http://www.nevo.co.il/law/70301/186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7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84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9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7.a" TargetMode="External"/><Relationship Id="rId27" Type="http://schemas.openxmlformats.org/officeDocument/2006/relationships/hyperlink" Target="http://www.nevo.co.il/law/70301/25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275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52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287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4216/7.a" TargetMode="External"/><Relationship Id="rId36" Type="http://schemas.openxmlformats.org/officeDocument/2006/relationships/hyperlink" Target="http://www.nevo.co.il/law/4216/7.c" TargetMode="External"/><Relationship Id="rId37" Type="http://schemas.openxmlformats.org/officeDocument/2006/relationships/hyperlink" Target="http://www.nevo.co.il/law/4216" TargetMode="External"/><Relationship Id="rId38" Type="http://schemas.openxmlformats.org/officeDocument/2006/relationships/hyperlink" Target="http://www.nevo.co.il/case/6025770" TargetMode="External"/><Relationship Id="rId39" Type="http://schemas.openxmlformats.org/officeDocument/2006/relationships/hyperlink" Target="http://www.nevo.co.il/law/70301/407.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52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jaC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13" TargetMode="External"/><Relationship Id="rId46" Type="http://schemas.openxmlformats.org/officeDocument/2006/relationships/hyperlink" Target="http://www.nevo.co.il/case/17939098" TargetMode="External"/><Relationship Id="rId47" Type="http://schemas.openxmlformats.org/officeDocument/2006/relationships/hyperlink" Target="http://www.nevo.co.il/case/17914714" TargetMode="External"/><Relationship Id="rId48" Type="http://schemas.openxmlformats.org/officeDocument/2006/relationships/hyperlink" Target="http://www.nevo.co.il/case/5988684" TargetMode="External"/><Relationship Id="rId49" Type="http://schemas.openxmlformats.org/officeDocument/2006/relationships/hyperlink" Target="http://www.nevo.co.il/law/70301/144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144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2017-03-08T11:38:00Z</dcterms:created>
  <dc:creator> </dc:creator>
  <dc:description/>
  <cp:keywords/>
  <dc:language>en-IL</dc:language>
  <cp:lastModifiedBy>miri</cp:lastModifiedBy>
  <cp:lastPrinted>2005-09-07T09:49:00Z</cp:lastPrinted>
  <dcterms:modified xsi:type="dcterms:W3CDTF">2017-03-08T11:38:00Z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כרים נעימה</vt:lpwstr>
  </property>
  <property fmtid="{D5CDD505-2E9C-101B-9397-08002B2CF9AE}" pid="4" name="CASESLISTTMP1">
    <vt:lpwstr>6025770;17939098;17914714;5988684</vt:lpwstr>
  </property>
  <property fmtid="{D5CDD505-2E9C-101B-9397-08002B2CF9AE}" pid="5" name="CITY">
    <vt:lpwstr>חי'</vt:lpwstr>
  </property>
  <property fmtid="{D5CDD505-2E9C-101B-9397-08002B2CF9AE}" pid="6" name="DATE">
    <vt:lpwstr>20050907</vt:lpwstr>
  </property>
  <property fmtid="{D5CDD505-2E9C-101B-9397-08002B2CF9AE}" pid="7" name="ISABSTRACT">
    <vt:lpwstr>Y</vt:lpwstr>
  </property>
  <property fmtid="{D5CDD505-2E9C-101B-9397-08002B2CF9AE}" pid="8" name="JUDGE">
    <vt:lpwstr>ניצה שרון</vt:lpwstr>
  </property>
  <property fmtid="{D5CDD505-2E9C-101B-9397-08002B2CF9AE}" pid="9" name="LAWLISTTMP1">
    <vt:lpwstr>70301/186;407.a:3;384;025:2;409;275;452:2;287;jaC;413;144:2</vt:lpwstr>
  </property>
  <property fmtid="{D5CDD505-2E9C-101B-9397-08002B2CF9AE}" pid="10" name="LAWLISTTMP2">
    <vt:lpwstr>4216/007.a;007.c</vt:lpwstr>
  </property>
  <property fmtid="{D5CDD505-2E9C-101B-9397-08002B2CF9AE}" pid="11" name="LAWYER">
    <vt:lpwstr>סמדר קליין;נאסר ענאן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3563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9</vt:lpwstr>
  </property>
</Properties>
</file>