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8"/>
        <w:gridCol w:w="680"/>
        <w:gridCol w:w="2235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חיפה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000388/03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אלרון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29/04/2004</w:t>
            </w:r>
          </w:p>
        </w:tc>
      </w:tr>
    </w:tbl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Style10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בא_כוח_א"/>
            <w:bookmarkStart w:id="4" w:name="בא_כוח_א"/>
            <w:bookmarkEnd w:id="4"/>
          </w:p>
        </w:tc>
        <w:tc>
          <w:tcPr>
            <w:tcW w:w="1757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ופיק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סאלם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עבדלחלים</w:t>
            </w:r>
          </w:p>
          <w:p>
            <w:pPr>
              <w:pStyle w:val="Style10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יאסין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עבדלחלים</w:t>
            </w:r>
          </w:p>
          <w:p>
            <w:pPr>
              <w:pStyle w:val="Style10"/>
              <w:ind w:end="0"/>
              <w:jc w:val="both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טאהא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עבדלחלים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7" w:name="בא_כוח_ב"/>
            <w:bookmarkStart w:id="8" w:name="בא_כוח_ב"/>
            <w:bookmarkEnd w:id="8"/>
          </w:p>
        </w:tc>
        <w:tc>
          <w:tcPr>
            <w:tcW w:w="1757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Style1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9" w:name="LawTable"/>
      <w:bookmarkStart w:id="10" w:name="LawTable"/>
      <w:bookmarkEnd w:id="10"/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1973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/>
            <w:bCs/>
            <w:sz w:val="24"/>
          </w:rPr>
          <w:t>13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/>
            <w:bCs/>
            <w:sz w:val="24"/>
          </w:rPr>
          <w:t>14</w:t>
        </w:r>
      </w:hyperlink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hyperlink r:id="rId5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b/>
            <w:bCs/>
            <w:sz w:val="24"/>
          </w:rPr>
          <w:t>29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/>
            <w:bCs/>
            <w:sz w:val="24"/>
          </w:rPr>
          <w:t>32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/>
            <w:bCs/>
            <w:sz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.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/>
            <w:bCs/>
            <w:sz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ב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/>
            <w:bCs/>
            <w:sz w:val="24"/>
          </w:rPr>
          <w:t>243</w:t>
        </w:r>
      </w:hyperlink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</w:r>
    </w:p>
    <w:p>
      <w:pPr>
        <w:pStyle w:val="Style10"/>
        <w:ind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Style1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1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1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1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3" w:name="צד_ג"/>
      <w:bookmarkStart w:id="14" w:name="צד_ג"/>
      <w:bookmarkEnd w:id="14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5" w:name="צד_ג"/>
      <w:bookmarkStart w:id="16" w:name="סוג_מסמך"/>
      <w:bookmarkStart w:id="17" w:name="צד_ג"/>
      <w:bookmarkStart w:id="18" w:name="סוג_מסמך"/>
      <w:bookmarkEnd w:id="17"/>
      <w:bookmarkEnd w:id="18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9" w:name="LastJudge"/>
      <w:bookmarkStart w:id="20" w:name="PsakDin"/>
      <w:bookmarkEnd w:id="19"/>
      <w:bookmarkEnd w:id="20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1" w:name="PsakDin"/>
      <w:bookmarkStart w:id="22" w:name="PsakDin"/>
      <w:bookmarkEnd w:id="22"/>
    </w:p>
    <w:p>
      <w:pPr>
        <w:pStyle w:val="Normal"/>
        <w:ind w:end="0"/>
        <w:jc w:val="both"/>
        <w:rPr/>
      </w:pPr>
      <w:bookmarkStart w:id="23" w:name="סוג_מסמך"/>
      <w:bookmarkEnd w:id="23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24" w:name="ABSTRACT_START"/>
      <w:bookmarkEnd w:id="24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ולהודיע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להפלילו</w:t>
      </w:r>
      <w:bookmarkStart w:id="25" w:name="ABSTRACT_END"/>
      <w:bookmarkEnd w:id="25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בתוכניותיו</w:t>
      </w:r>
      <w:r>
        <w:rPr>
          <w:rtl w:val="true"/>
        </w:rPr>
        <w:t xml:space="preserve">, </w:t>
      </w:r>
      <w:r>
        <w:rPr>
          <w:rtl w:val="true"/>
        </w:rPr>
        <w:t>צרפו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אקסטזי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לבקשתם</w:t>
      </w:r>
      <w:r>
        <w:rPr>
          <w:rtl w:val="true"/>
        </w:rPr>
        <w:t xml:space="preserve">, </w:t>
      </w:r>
      <w:r>
        <w:rPr>
          <w:rtl w:val="true"/>
        </w:rPr>
        <w:t>ובנסיעה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שלושתם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האקסטזי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1,200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800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"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" </w:t>
      </w:r>
      <w:r>
        <w:rPr>
          <w:rtl w:val="true"/>
        </w:rPr>
        <w:t>ומסרם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05.11.03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19.30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והטמין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הוסע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מזימתו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43.5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כחשוד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שנבדקו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מכילים</w:t>
      </w:r>
      <w:r>
        <w:rPr>
          <w:rFonts w:cs="Times New Roman"/>
          <w:rtl w:val="true"/>
        </w:rPr>
        <w:t xml:space="preserve"> </w:t>
      </w:r>
      <w:r>
        <w:rPr/>
        <w:t>M.D.M.A</w:t>
      </w:r>
      <w:r>
        <w:rPr>
          <w:rtl w:val="true"/>
        </w:rPr>
        <w:t xml:space="preserve"> </w:t>
      </w:r>
      <w:r>
        <w:rPr>
          <w:rtl w:val="true"/>
        </w:rPr>
        <w:t>ומטעני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המכילים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ושרידי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מוליכים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שבכוחם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מנגנון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קיים</w:t>
      </w:r>
      <w:r>
        <w:rPr>
          <w:b/>
          <w:bCs/>
          <w:rtl w:val="true"/>
        </w:rPr>
        <w:t>".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hyperlink r:id="rId11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r>
        <w:rPr>
          <w:b/>
          <w:b/>
          <w:bCs/>
          <w:rtl w:val="true"/>
        </w:rPr>
        <w:t>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המסוכנים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נוסח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חדש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תשל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ג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1973</w:t>
      </w:r>
      <w:r>
        <w:rPr>
          <w:b/>
          <w:bCs/>
          <w:u w:val="single"/>
          <w:rtl w:val="true"/>
        </w:rPr>
        <w:t xml:space="preserve"> + </w:t>
      </w:r>
      <w:hyperlink r:id="rId12">
        <w:r>
          <w:rPr>
            <w:rStyle w:val="Hyperlink"/>
          </w:rPr>
          <w:t>29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התשל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1977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hyperlink r:id="rId13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)+(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סייפא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+ </w:t>
      </w:r>
      <w:hyperlink r:id="rId14">
        <w:r>
          <w:rPr>
            <w:rStyle w:val="Hyperlink"/>
          </w:rPr>
          <w:t>29</w:t>
        </w:r>
      </w:hyperlink>
      <w:r>
        <w:rPr>
          <w:b/>
          <w:bCs/>
          <w:u w:val="single"/>
          <w:rtl w:val="true"/>
        </w:rPr>
        <w:t xml:space="preserve"> + </w:t>
      </w:r>
      <w:hyperlink r:id="rId15">
        <w:r>
          <w:rPr>
            <w:rStyle w:val="Hyperlink"/>
          </w:rPr>
          <w:t>32</w:t>
        </w:r>
      </w:hyperlink>
      <w:r>
        <w:rPr>
          <w:b/>
          <w:bCs/>
          <w:u w:val="single"/>
          <w:rtl w:val="true"/>
        </w:rPr>
        <w:t xml:space="preserve">, </w:t>
      </w:r>
      <w:hyperlink r:id="rId16">
        <w:r>
          <w:rPr>
            <w:rStyle w:val="Hyperlink"/>
          </w:rPr>
          <w:t>243</w:t>
        </w:r>
      </w:hyperlink>
      <w:r>
        <w:rPr>
          <w:b/>
          <w:bCs/>
          <w:u w:val="single"/>
          <w:rtl w:val="true"/>
        </w:rPr>
        <w:t xml:space="preserve"> + </w:t>
      </w:r>
      <w:hyperlink r:id="rId17">
        <w:r>
          <w:rPr>
            <w:rStyle w:val="Hyperlink"/>
          </w:rPr>
          <w:t>29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לחוק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התשל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1977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דהיינו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עשיית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כוזבות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r>
        <w:rPr>
          <w:b/>
          <w:b/>
          <w:bCs/>
          <w:rtl w:val="true"/>
        </w:rPr>
        <w:t>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המסוכנים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נוסח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חדש</w:t>
      </w:r>
      <w:r>
        <w:rPr>
          <w:b/>
          <w:bCs/>
          <w:u w:val="single"/>
          <w:rtl w:val="true"/>
        </w:rPr>
        <w:t xml:space="preserve">) </w:t>
      </w:r>
      <w:r>
        <w:rPr>
          <w:b/>
          <w:b/>
          <w:bCs/>
          <w:u w:val="single"/>
          <w:rtl w:val="true"/>
        </w:rPr>
        <w:t>תשל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ג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1973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rtl w:val="true"/>
        </w:rPr>
        <w:t>תיווך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דאחלה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23.03.04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</w:t>
      </w:r>
      <w:r>
        <w:rPr>
          <w:rtl w:val="true"/>
        </w:rPr>
        <w:t xml:space="preserve">),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ומציאות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ליוותה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בגרותו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אמנע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תסקירו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שכינה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התחברות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לפסול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שבהתנהגותו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חליחל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ראידה</w:t>
      </w:r>
      <w:r>
        <w:rPr>
          <w:rtl w:val="true"/>
        </w:rPr>
        <w:t xml:space="preserve">, </w:t>
      </w:r>
      <w:r>
        <w:rPr>
          <w:rtl w:val="true"/>
        </w:rPr>
        <w:t>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כשלונו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ההתנהגותי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שמא</w:t>
      </w:r>
      <w:r>
        <w:rPr>
          <w:rtl w:val="true"/>
        </w:rPr>
        <w:t xml:space="preserve">,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תחשוף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שלדבריה</w:t>
      </w:r>
      <w:r>
        <w:rPr>
          <w:rtl w:val="true"/>
        </w:rPr>
        <w:t xml:space="preserve">,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19.02.04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הדחיה</w:t>
      </w:r>
      <w:r>
        <w:rPr>
          <w:rtl w:val="true"/>
        </w:rPr>
        <w:t xml:space="preserve">, </w:t>
      </w:r>
      <w:r>
        <w:rPr>
          <w:rtl w:val="true"/>
        </w:rPr>
        <w:t>תגיש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 </w:t>
      </w:r>
      <w:r>
        <w:rPr/>
        <w:t>19.02.04</w:t>
      </w:r>
      <w:r>
        <w:rPr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הגרעינית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אפרטם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התבגרות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רווית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ואכזבות</w:t>
      </w:r>
      <w:r>
        <w:rPr>
          <w:b/>
          <w:bCs/>
          <w:rtl w:val="true"/>
        </w:rPr>
        <w:t>".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17.03.04</w:t>
      </w:r>
      <w:r>
        <w:rPr>
          <w:rtl w:val="true"/>
        </w:rPr>
        <w:t xml:space="preserve">,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tl w:val="true"/>
        </w:rPr>
        <w:t xml:space="preserve">,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יזמו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tl w:val="true"/>
        </w:rPr>
        <w:t xml:space="preserve">, </w:t>
      </w:r>
      <w:r>
        <w:rPr>
          <w:rtl w:val="true"/>
        </w:rPr>
        <w:t>הטילו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),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"</w:t>
      </w:r>
      <w:r>
        <w:rPr>
          <w:b/>
          <w:b/>
          <w:bCs/>
          <w:rtl w:val="true"/>
        </w:rPr>
        <w:t>כרוח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ואחזקתם</w:t>
      </w:r>
      <w:r>
        <w:rPr>
          <w:rtl w:val="true"/>
        </w:rPr>
        <w:t xml:space="preserve">,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הכוזבת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)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>ובה</w:t>
      </w:r>
      <w:r>
        <w:rPr>
          <w:rtl w:val="true"/>
        </w:rPr>
        <w:t xml:space="preserve">,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בפרוט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מתרועע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tl w:val="true"/>
        </w:rPr>
        <w:t xml:space="preserve">,  </w:t>
      </w:r>
      <w:r>
        <w:rPr>
          <w:rtl w:val="true"/>
        </w:rPr>
        <w:t>לטפול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גייס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ומנסה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tl w:val="true"/>
        </w:rPr>
        <w:t xml:space="preserve">,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משמעותה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טוטאלי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b/>
          <w:bCs/>
          <w:rtl w:val="true"/>
        </w:rPr>
        <w:t>".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הרוח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המתוקן</w:t>
      </w:r>
      <w:r>
        <w:rPr>
          <w:b/>
          <w:bCs/>
          <w:rtl w:val="true"/>
        </w:rPr>
        <w:t>".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כהגדרתו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פשרה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",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ולהרשעתו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העיסקה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ורעייתו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הריונה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להסתבכויותיו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התלבטתי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התרועעותה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),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מאומה</w:t>
      </w:r>
      <w:r>
        <w:rPr>
          <w:rtl w:val="true"/>
        </w:rPr>
        <w:t xml:space="preserve">,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גילויים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וזדונית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ולתוצאותיה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נמצאנו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מזימתם</w:t>
      </w:r>
      <w:r>
        <w:rPr>
          <w:rtl w:val="true"/>
        </w:rPr>
        <w:t xml:space="preserve">, </w:t>
      </w:r>
      <w:r>
        <w:rPr>
          <w:rtl w:val="true"/>
        </w:rPr>
        <w:t>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דקדקני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הפעלת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ולמעצרו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כמתוכנן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לאחזקת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לזכותם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מיותרת</w:t>
      </w:r>
      <w:r>
        <w:rPr>
          <w:rtl w:val="true"/>
        </w:rPr>
        <w:t xml:space="preserve">, </w:t>
      </w:r>
      <w:r>
        <w:rPr>
          <w:rtl w:val="true"/>
        </w:rPr>
        <w:t>ובזבוז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ושיפוטי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)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ביקשתי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, </w:t>
      </w:r>
      <w:r>
        <w:rPr>
          <w:rtl w:val="true"/>
        </w:rPr>
        <w:t>וכיצד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כיוזם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tl w:val="true"/>
        </w:rPr>
        <w:t xml:space="preserve">, 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פסעו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יחדיו</w:t>
      </w:r>
      <w:r>
        <w:rPr>
          <w:rtl w:val="true"/>
        </w:rPr>
        <w:t xml:space="preserve">, </w:t>
      </w:r>
      <w:r>
        <w:rPr>
          <w:rtl w:val="true"/>
        </w:rPr>
        <w:t>במשעול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והיא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יאמר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ויותר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u w:val="single"/>
        </w:rPr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u w:val="single"/>
        </w:rPr>
        <w:t>60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),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06.11.03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26.11.03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2995/00</w:t>
      </w:r>
      <w:r>
        <w:rPr>
          <w:rtl w:val="true"/>
        </w:rPr>
        <w:t xml:space="preserve"> -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רמלה</w:t>
      </w:r>
      <w:r>
        <w:rPr>
          <w:rtl w:val="true"/>
        </w:rPr>
        <w:t xml:space="preserve">, 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3576/00</w:t>
      </w:r>
      <w:r>
        <w:rPr>
          <w:rtl w:val="true"/>
        </w:rPr>
        <w:t xml:space="preserve"> -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קריות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color w:val="000000"/>
          <w:rtl w:val="true"/>
        </w:rPr>
        <w:t>לצורך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תקופת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הוטלו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ינוכו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שהייתם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u w:val="single"/>
        </w:rPr>
        <w:t>06.11.03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26.11.03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Heading4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באייר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29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באפריל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2004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ind w:start="5760" w:end="0"/>
        <w:jc w:val="both"/>
        <w:rPr/>
      </w:pPr>
      <w:r>
        <w:rPr>
          <w:rtl w:val="true"/>
        </w:rPr>
        <w:tab/>
        <w:tab/>
        <w:tab/>
        <w:tab/>
        <w:tab/>
        <w:tab/>
      </w:r>
    </w:p>
    <w:tbl>
      <w:tblPr>
        <w:tblW w:w="2093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אלרון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עטיאס</w:t>
      </w:r>
      <w:r>
        <w:br w:type="page"/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>באי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הנאשמים</w:t>
      </w:r>
    </w:p>
    <w:p>
      <w:pPr>
        <w:pStyle w:val="Normal"/>
        <w:ind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5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</w:p>
    <w:p>
      <w:pPr>
        <w:pStyle w:val="Normal"/>
        <w:ind w:end="0"/>
        <w:jc w:val="both"/>
        <w:rPr/>
      </w:pPr>
      <w:r>
        <w:rPr>
          <w:rtl w:val="true"/>
        </w:rPr>
        <w:t>משאירה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sz w:val="26"/>
          <w:szCs w:val="28"/>
        </w:rPr>
      </w:pPr>
      <w:bookmarkStart w:id="26" w:name="Decision1"/>
      <w:bookmarkEnd w:id="26"/>
      <w:r>
        <w:rPr>
          <w:sz w:val="26"/>
          <w:sz w:val="26"/>
          <w:szCs w:val="28"/>
          <w:rtl w:val="true"/>
        </w:rPr>
        <w:t>החלטה</w:t>
      </w:r>
    </w:p>
    <w:p>
      <w:pPr>
        <w:pStyle w:val="Normal"/>
        <w:suppressLineNumbers/>
        <w:ind w:end="0"/>
        <w:jc w:val="both"/>
        <w:rPr>
          <w:sz w:val="26"/>
          <w:szCs w:val="28"/>
        </w:rPr>
      </w:pPr>
      <w:r>
        <w:rPr>
          <w:sz w:val="26"/>
          <w:szCs w:val="28"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30.05.04</w:t>
      </w:r>
      <w:r>
        <w:rPr>
          <w:rtl w:val="true"/>
        </w:rPr>
        <w:t xml:space="preserve"> </w:t>
      </w:r>
      <w:r>
        <w:rPr>
          <w:rtl w:val="true"/>
        </w:rPr>
        <w:t>שאז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משעה</w:t>
      </w:r>
      <w:r>
        <w:rPr>
          <w:rFonts w:cs="Times New Roman"/>
          <w:rtl w:val="true"/>
        </w:rPr>
        <w:t xml:space="preserve"> </w:t>
      </w:r>
      <w:r>
        <w:rPr/>
        <w:t>08.30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באייר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באפריל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י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אלרון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54678313-388/03</w:t>
      </w:r>
    </w:p>
    <w:p>
      <w:pPr>
        <w:pStyle w:val="Normal"/>
        <w:ind w:end="0"/>
        <w:jc w:val="both"/>
        <w:rPr/>
      </w:pPr>
      <w:r>
        <w:rPr>
          <w:rtl w:val="true"/>
        </w:rPr>
        <w:tab/>
        <w:tab/>
        <w:tab/>
        <w:tab/>
        <w:tab/>
      </w:r>
    </w:p>
    <w:tbl>
      <w:tblPr>
        <w:tblW w:w="2093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אלרון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bookmarkStart w:id="27" w:name="Decision1"/>
      <w:bookmarkEnd w:id="27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9"/>
      <w:footerReference w:type="default" r:id="rId20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10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/Users/liorb/Downloads/study2025-p2/m03000388-812.doc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388/03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ופיק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סאלם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עבדלחלים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color w:val="000000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9">
    <w:name w:val="הזכר"/>
    <w:qFormat/>
    <w:rPr>
      <w:color w:val="2B579A"/>
      <w:shd w:fill="E6E6E6" w:val="clear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4216/14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9" TargetMode="External"/><Relationship Id="rId7" Type="http://schemas.openxmlformats.org/officeDocument/2006/relationships/hyperlink" Target="http://www.nevo.co.il/law/70301/32" TargetMode="External"/><Relationship Id="rId8" Type="http://schemas.openxmlformats.org/officeDocument/2006/relationships/hyperlink" Target="http://www.nevo.co.il/law/70301/144.a.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243" TargetMode="External"/><Relationship Id="rId11" Type="http://schemas.openxmlformats.org/officeDocument/2006/relationships/hyperlink" Target="http://www.nevo.co.il/law/4216/13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/144.a.;144.b" TargetMode="External"/><Relationship Id="rId14" Type="http://schemas.openxmlformats.org/officeDocument/2006/relationships/hyperlink" Target="http://www.nevo.co.il/law/70301/29" TargetMode="External"/><Relationship Id="rId15" Type="http://schemas.openxmlformats.org/officeDocument/2006/relationships/hyperlink" Target="http://www.nevo.co.il/law/70301/32" TargetMode="External"/><Relationship Id="rId16" Type="http://schemas.openxmlformats.org/officeDocument/2006/relationships/hyperlink" Target="http://www.nevo.co.il/law/70301/243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4216/14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2017-05-10T15:04:00Z</dcterms:created>
  <dc:creator> </dc:creator>
  <dc:description/>
  <cp:keywords/>
  <dc:language>en-IL</dc:language>
  <cp:lastModifiedBy>run</cp:lastModifiedBy>
  <cp:lastPrinted>2004-02-23T11:32:00Z</cp:lastPrinted>
  <dcterms:modified xsi:type="dcterms:W3CDTF">2017-05-10T15:04:00Z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ופיק בן סאלם עבדלחלים;מוחמד בן יאסין עבדלחלים;אמיר בן טאהא עבדלחלים</vt:lpwstr>
  </property>
  <property fmtid="{D5CDD505-2E9C-101B-9397-08002B2CF9AE}" pid="4" name="CASENOTES1">
    <vt:lpwstr>ProcID=209&amp;PartA=3576&amp;PartC=00</vt:lpwstr>
  </property>
  <property fmtid="{D5CDD505-2E9C-101B-9397-08002B2CF9AE}" pid="5" name="CASESLISTTMP1">
    <vt:lpwstr>5869179</vt:lpwstr>
  </property>
  <property fmtid="{D5CDD505-2E9C-101B-9397-08002B2CF9AE}" pid="6" name="CITY">
    <vt:lpwstr>חי'</vt:lpwstr>
  </property>
  <property fmtid="{D5CDD505-2E9C-101B-9397-08002B2CF9AE}" pid="7" name="DATE">
    <vt:lpwstr>20040429</vt:lpwstr>
  </property>
  <property fmtid="{D5CDD505-2E9C-101B-9397-08002B2CF9AE}" pid="8" name="ISABSTRACT">
    <vt:lpwstr>Y</vt:lpwstr>
  </property>
  <property fmtid="{D5CDD505-2E9C-101B-9397-08002B2CF9AE}" pid="9" name="JUDGE">
    <vt:lpwstr>י. אלרון</vt:lpwstr>
  </property>
  <property fmtid="{D5CDD505-2E9C-101B-9397-08002B2CF9AE}" pid="10" name="LAWLISTTMP1">
    <vt:lpwstr>4216/013;014</vt:lpwstr>
  </property>
  <property fmtid="{D5CDD505-2E9C-101B-9397-08002B2CF9AE}" pid="11" name="LAWLISTTMP2">
    <vt:lpwstr>70301/029:3;144.a;144.b;032;243</vt:lpwstr>
  </property>
  <property fmtid="{D5CDD505-2E9C-101B-9397-08002B2CF9AE}" pid="12" name="LAWYER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388</vt:lpwstr>
  </property>
  <property fmtid="{D5CDD505-2E9C-101B-9397-08002B2CF9AE}" pid="30" name="PROCYEAR">
    <vt:lpwstr>03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9</vt:lpwstr>
  </property>
</Properties>
</file>