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)+(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536"/>
        <w:gridCol w:w="992"/>
        <w:gridCol w:w="2235"/>
      </w:tblGrid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חיפה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000400/00</w:t>
            </w:r>
          </w:p>
        </w:tc>
      </w:tr>
      <w:tr>
        <w:trPr>
          <w:trHeight w:val="195" w:hRule="atLeast"/>
          <w:cantSplit w:val="true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שפירא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30/11/2005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6" w:name="FirstAppellant"/>
            <w:bookmarkEnd w:id="6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פרימו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מנשה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עמית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bookmarkStart w:id="9" w:name="סוג_מסמך"/>
      <w:bookmarkEnd w:id="9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לעניין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מס</w:t>
      </w:r>
      <w:r>
        <w:rPr>
          <w:b/>
          <w:bCs/>
          <w:sz w:val="32"/>
          <w:szCs w:val="32"/>
          <w:rtl w:val="true"/>
        </w:rPr>
        <w:t xml:space="preserve">'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בלבד</w:t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</w:hyperlink>
      <w:hyperlink r:id="rId6"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פרימו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bookmarkStart w:id="11" w:name="ABSTRACT_END"/>
      <w:bookmarkEnd w:id="11"/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bookmarkStart w:id="12" w:name="LastJudge"/>
      <w:bookmarkEnd w:id="12"/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וההתדיינות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המילואים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הפנסיוניות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להעסקתו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כישורים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ופיקודיו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 xml:space="preserve">,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כמפקד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23.11.05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בכירה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. 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.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910/85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670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." 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6941/01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פינטו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), </w:t>
      </w:r>
      <w:r>
        <w:rPr/>
        <w:t>669</w:t>
      </w:r>
      <w:r>
        <w:rPr>
          <w:rtl w:val="true"/>
        </w:rPr>
        <w:t xml:space="preserve"> :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ופעולות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יזומות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." 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בתפעולו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2083/96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תמר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כתב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פורסם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' (</w:t>
      </w:r>
      <w:r>
        <w:rPr/>
        <w:t>3</w:t>
      </w:r>
      <w:r>
        <w:rPr>
          <w:rtl w:val="true"/>
        </w:rPr>
        <w:t xml:space="preserve">)   </w:t>
      </w:r>
      <w:r>
        <w:rPr/>
        <w:t>337</w:t>
      </w:r>
      <w:r>
        <w:rPr>
          <w:rtl w:val="true"/>
        </w:rPr>
        <w:t xml:space="preserve"> ,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709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? </w:t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b/>
          <w:bCs/>
          <w:rtl w:val="true"/>
        </w:rPr>
        <w:t xml:space="preserve">? </w:t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ולתפקיד</w:t>
      </w:r>
      <w:r>
        <w:rPr>
          <w:b/>
          <w:bCs/>
          <w:rtl w:val="true"/>
        </w:rPr>
        <w:t xml:space="preserve">; </w:t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באחרים</w:t>
      </w:r>
      <w:r>
        <w:rPr>
          <w:b/>
          <w:bCs/>
          <w:rtl w:val="true"/>
        </w:rPr>
        <w:t xml:space="preserve">; </w:t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 xml:space="preserve">; </w:t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מקרית</w:t>
      </w:r>
      <w:r>
        <w:rPr>
          <w:b/>
          <w:bCs/>
          <w:rtl w:val="true"/>
        </w:rPr>
        <w:t xml:space="preserve">? </w:t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יחסו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 xml:space="preserve">? </w:t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? </w:t>
      </w:r>
    </w:p>
    <w:p>
      <w:pPr>
        <w:pStyle w:val="Normal"/>
        <w:ind w:start="1080" w:end="70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709"/>
        <w:jc w:val="both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tl w:val="true"/>
        </w:rPr>
        <w:t xml:space="preserve">."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. 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tl w:val="true"/>
        </w:rPr>
        <w:t xml:space="preserve">. 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.    </w:t>
      </w:r>
    </w:p>
    <w:p>
      <w:pPr>
        <w:pStyle w:val="Normal"/>
        <w:ind w:start="108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 xml:space="preserve">.  </w:t>
      </w:r>
    </w:p>
    <w:p>
      <w:pPr>
        <w:pStyle w:val="Normal"/>
        <w:ind w:end="0"/>
        <w:jc w:val="both"/>
        <w:rPr/>
      </w:pPr>
      <w:bookmarkStart w:id="13" w:name="סוג_מסמך"/>
      <w:bookmarkEnd w:id="13"/>
      <w:r>
        <w:rPr>
          <w:b/>
          <w:b/>
          <w:bCs/>
          <w:color w:val="000000"/>
          <w:sz w:val="30"/>
          <w:sz w:val="30"/>
          <w:u w:val="single"/>
          <w:rtl w:val="true"/>
        </w:rPr>
        <w:t>הודע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לנאשם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זכותו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לערער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בבית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העליון</w:t>
      </w:r>
      <w:r>
        <w:rPr>
          <w:b/>
          <w:bCs/>
          <w:color w:val="000000"/>
          <w:sz w:val="30"/>
          <w:u w:val="single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תוך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Cs/>
          <w:color w:val="000000"/>
          <w:sz w:val="30"/>
          <w:u w:val="single"/>
        </w:rPr>
        <w:t>45</w:t>
      </w:r>
      <w:r>
        <w:rPr>
          <w:b/>
          <w:bCs/>
          <w:color w:val="00000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יום</w:t>
      </w:r>
      <w:r>
        <w:rPr>
          <w:rFonts w:cs="Times New Roman"/>
          <w:b/>
          <w:b/>
          <w:bCs/>
          <w:color w:val="000000"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u w:val="single"/>
          <w:rtl w:val="true"/>
        </w:rPr>
        <w:t>מהיום</w:t>
      </w:r>
      <w:r>
        <w:rPr>
          <w:color w:val="000000"/>
          <w:sz w:val="30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30"/>
          <w:szCs w:val="22"/>
        </w:rPr>
      </w:pPr>
      <w:r>
        <w:rPr>
          <w:rFonts w:cs="David"/>
          <w:color w:val="000000"/>
          <w:sz w:val="30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Cs w:val="22"/>
        </w:rPr>
      </w:pPr>
      <w:r>
        <w:rPr>
          <w:color w:val="000000"/>
          <w:szCs w:val="22"/>
          <w:rtl w:val="true"/>
        </w:rPr>
        <w:t>ר</w:t>
      </w:r>
      <w:r>
        <w:rPr>
          <w:rFonts w:cs="David"/>
          <w:color w:val="000000"/>
          <w:szCs w:val="22"/>
          <w:rtl w:val="true"/>
        </w:rPr>
        <w:t xml:space="preserve">. </w:t>
      </w:r>
      <w:r>
        <w:rPr>
          <w:color w:val="000000"/>
          <w:szCs w:val="22"/>
          <w:rtl w:val="true"/>
        </w:rPr>
        <w:t>שפירא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rFonts w:cs="David"/>
          <w:color w:val="000000"/>
          <w:szCs w:val="22"/>
        </w:rPr>
        <w:t>54678313-400/00</w:t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בחשון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</w:rPr>
            </w:pPr>
            <w:r>
              <w:rPr>
                <w:b/>
                <w:b/>
                <w:bCs/>
                <w:sz w:val="30"/>
                <w:sz w:val="30"/>
                <w:rtl w:val="true"/>
              </w:rPr>
              <w:t>ר</w:t>
            </w:r>
            <w:r>
              <w:rPr>
                <w:b/>
                <w:bCs/>
                <w:sz w:val="30"/>
                <w:rtl w:val="true"/>
              </w:rPr>
              <w:t xml:space="preserve">. </w:t>
            </w:r>
            <w:r>
              <w:rPr>
                <w:b/>
                <w:b/>
                <w:bCs/>
                <w:sz w:val="30"/>
                <w:sz w:val="30"/>
                <w:rtl w:val="true"/>
              </w:rPr>
              <w:t>שפירא</w:t>
            </w:r>
            <w:r>
              <w:rPr>
                <w:b/>
                <w:bCs/>
                <w:sz w:val="30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/Users/liorb/Downloads/study2025-p2/m00000400-486.doc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חי</w:t>
    </w:r>
    <w:r>
      <w:rPr>
        <w:rFonts w:cs="David"/>
        <w:color w:val="000000"/>
        <w:szCs w:val="22"/>
        <w:rtl w:val="true"/>
      </w:rPr>
      <w:t xml:space="preserve">') </w:t>
    </w:r>
    <w:r>
      <w:rPr>
        <w:rFonts w:cs="David"/>
        <w:color w:val="000000"/>
        <w:szCs w:val="22"/>
      </w:rPr>
      <w:t>400/00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שמואל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פרימו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1479667" TargetMode="External"/><Relationship Id="rId9" Type="http://schemas.openxmlformats.org/officeDocument/2006/relationships/hyperlink" Target="http://www.nevo.co.il/case/6091216" TargetMode="External"/><Relationship Id="rId10" Type="http://schemas.openxmlformats.org/officeDocument/2006/relationships/hyperlink" Target="http://www.nevo.co.il/case/581078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2016-12-01T16:02:00Z</dcterms:created>
  <dc:creator> </dc:creator>
  <dc:description/>
  <cp:keywords/>
  <dc:language>en-IL</dc:language>
  <cp:lastModifiedBy>hofit</cp:lastModifiedBy>
  <dcterms:modified xsi:type="dcterms:W3CDTF">2016-12-01T16:02:00Z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שמואל פרימו;מנשה עמית</vt:lpwstr>
  </property>
  <property fmtid="{D5CDD505-2E9C-101B-9397-08002B2CF9AE}" pid="4" name="CASESLISTTMP1">
    <vt:lpwstr>21479667;6091216;5810781</vt:lpwstr>
  </property>
  <property fmtid="{D5CDD505-2E9C-101B-9397-08002B2CF9AE}" pid="5" name="CITY">
    <vt:lpwstr>חי'</vt:lpwstr>
  </property>
  <property fmtid="{D5CDD505-2E9C-101B-9397-08002B2CF9AE}" pid="6" name="DATE">
    <vt:lpwstr>20051130</vt:lpwstr>
  </property>
  <property fmtid="{D5CDD505-2E9C-101B-9397-08002B2CF9AE}" pid="7" name="ISABSTRACT">
    <vt:lpwstr>Y</vt:lpwstr>
  </property>
  <property fmtid="{D5CDD505-2E9C-101B-9397-08002B2CF9AE}" pid="8" name="JUDGE">
    <vt:lpwstr>ר. שפירא</vt:lpwstr>
  </property>
  <property fmtid="{D5CDD505-2E9C-101B-9397-08002B2CF9AE}" pid="9" name="LAWLISTTMP1">
    <vt:lpwstr>70301/144.a:2;144.b:2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400</vt:lpwstr>
  </property>
  <property fmtid="{D5CDD505-2E9C-101B-9397-08002B2CF9AE}" pid="28" name="PROCYEAR">
    <vt:lpwstr>00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8</vt:lpwstr>
  </property>
</Properties>
</file>