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680"/>
        <w:gridCol w:w="4848"/>
        <w:gridCol w:w="766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005006/06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חיפה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Cs w:val="22"/>
              </w:rPr>
            </w:pPr>
            <w:r>
              <w:rPr>
                <w:rFonts w:cs="Times New Roman"/>
                <w:b/>
                <w:bCs/>
                <w:szCs w:val="22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</w:tr>
      <w:tr>
        <w:trPr>
          <w:trHeight w:val="286" w:hRule="atLeast"/>
        </w:trPr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28/01/2007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ברכה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בר</w:t>
            </w:r>
            <w:r>
              <w:rPr>
                <w:b/>
                <w:bCs/>
                <w:szCs w:val="22"/>
                <w:rtl w:val="true"/>
              </w:rPr>
              <w:t>-</w:t>
            </w:r>
            <w:r>
              <w:rPr>
                <w:b/>
                <w:b/>
                <w:bCs/>
                <w:szCs w:val="22"/>
                <w:rtl w:val="true"/>
              </w:rPr>
              <w:t>זיו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p>
      <w:pPr>
        <w:pStyle w:val="Header"/>
        <w:spacing w:lineRule="auto" w:line="240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Style12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tblW w:w="8506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324"/>
        <w:gridCol w:w="3063"/>
        <w:gridCol w:w="1757"/>
        <w:gridCol w:w="1362"/>
      </w:tblGrid>
      <w:tr>
        <w:trPr/>
        <w:tc>
          <w:tcPr>
            <w:tcW w:w="2324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FirstAppellant"/>
            <w:bookmarkStart w:id="3" w:name="שם_א"/>
            <w:bookmarkStart w:id="4" w:name="FirstAppellant"/>
            <w:bookmarkStart w:id="5" w:name="שם_א"/>
            <w:bookmarkEnd w:id="4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6" w:name="כינוי_א"/>
            <w:bookmarkStart w:id="7" w:name="בא_כוח_א"/>
            <w:bookmarkEnd w:id="6"/>
            <w:bookmarkEnd w:id="7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אחסאן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324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10" w:name="FirstLawyer"/>
            <w:bookmarkStart w:id="11" w:name="בא_כוח_ב"/>
            <w:bookmarkStart w:id="12" w:name="כינוי_ב"/>
            <w:bookmarkEnd w:id="10"/>
            <w:bookmarkEnd w:id="11"/>
            <w:bookmarkEnd w:id="12"/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שחאדה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אדהם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גב</w:t>
            </w:r>
            <w:r>
              <w:rPr>
                <w:b w:val="false"/>
                <w:bCs w:val="false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rtl w:val="true"/>
              </w:rPr>
              <w:t>גושן</w:t>
            </w:r>
          </w:p>
          <w:p>
            <w:pPr>
              <w:pStyle w:val="Style12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ברבארה</w:t>
            </w:r>
          </w:p>
          <w:p>
            <w:pPr>
              <w:pStyle w:val="Style12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rtl w:val="true"/>
              </w:rPr>
              <w:t>באמצעות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הליווי</w:t>
            </w:r>
          </w:p>
        </w:tc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3" w:name="צד_ג"/>
      <w:bookmarkStart w:id="14" w:name="צד_ג"/>
      <w:bookmarkEnd w:id="14"/>
    </w:p>
    <w:p>
      <w:pPr>
        <w:pStyle w:val="Heading"/>
        <w:ind w:end="0"/>
        <w:jc w:val="center"/>
        <w:rPr>
          <w:color w:val="000000"/>
        </w:rPr>
      </w:pPr>
      <w:r>
        <w:rPr>
          <w:color w:val="000000"/>
          <w:rtl w:val="true"/>
        </w:rPr>
      </w:r>
      <w:bookmarkStart w:id="15" w:name="צד_ג"/>
      <w:bookmarkStart w:id="16" w:name="Decision1"/>
      <w:bookmarkStart w:id="17" w:name="סוג_מסמך"/>
      <w:bookmarkStart w:id="18" w:name="צד_ג"/>
      <w:bookmarkStart w:id="19" w:name="Decision1"/>
      <w:bookmarkStart w:id="20" w:name="סוג_מסמך"/>
      <w:bookmarkEnd w:id="18"/>
      <w:bookmarkEnd w:id="19"/>
      <w:bookmarkEnd w:id="20"/>
    </w:p>
    <w:p>
      <w:pPr>
        <w:pStyle w:val="Normal"/>
        <w:ind w:end="0"/>
        <w:jc w:val="center"/>
        <w:rPr>
          <w:b/>
          <w:bCs/>
          <w:color w:val="000000"/>
          <w:sz w:val="40"/>
          <w:szCs w:val="40"/>
          <w:u w:val="single"/>
        </w:rPr>
      </w:pPr>
      <w:bookmarkStart w:id="21" w:name="LastJudge"/>
      <w:bookmarkStart w:id="22" w:name="PsakDin"/>
      <w:bookmarkEnd w:id="21"/>
      <w:bookmarkEnd w:id="22"/>
      <w:r>
        <w:rPr>
          <w:b/>
          <w:b/>
          <w:bCs/>
          <w:color w:val="000000"/>
          <w:sz w:val="40"/>
          <w:sz w:val="40"/>
          <w:szCs w:val="40"/>
          <w:u w:val="single"/>
          <w:rtl w:val="true"/>
        </w:rPr>
        <w:t>גזר</w:t>
      </w:r>
      <w:r>
        <w:rPr>
          <w:rFonts w:cs="Times New Roman"/>
          <w:b/>
          <w:b/>
          <w:bCs/>
          <w:color w:val="000000"/>
          <w:sz w:val="40"/>
          <w:sz w:val="40"/>
          <w:szCs w:val="40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40"/>
          <w:sz w:val="40"/>
          <w:szCs w:val="40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color w:val="000000"/>
          <w:sz w:val="40"/>
          <w:szCs w:val="40"/>
          <w:u w:val="single"/>
        </w:rPr>
      </w:pPr>
      <w:r>
        <w:rPr>
          <w:b/>
          <w:bCs/>
          <w:color w:val="000000"/>
          <w:sz w:val="40"/>
          <w:szCs w:val="40"/>
          <w:u w:val="single"/>
          <w:rtl w:val="true"/>
        </w:rPr>
      </w:r>
      <w:bookmarkStart w:id="23" w:name="PsakDin"/>
      <w:bookmarkStart w:id="24" w:name="PsakDin"/>
      <w:bookmarkEnd w:id="24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</w:t>
      </w:r>
      <w:bookmarkStart w:id="25" w:name="ABSTRACT_START"/>
      <w:bookmarkEnd w:id="25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1.1.06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 xml:space="preserve">,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  <w:bookmarkStart w:id="26" w:name="ABSTRACT_END"/>
      <w:bookmarkStart w:id="27" w:name="ABSTRACT_END"/>
      <w:bookmarkEnd w:id="27"/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13.9.02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441/01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),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נורמליים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המוסכנות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סכסוכים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בחברתינו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וגורם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נזקים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לרכוש</w:t>
      </w:r>
      <w:r>
        <w:rPr>
          <w:sz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למעשיו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7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7955/06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1.1.06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בקובעו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1440" w:start="1440" w:end="0"/>
        <w:jc w:val="both"/>
        <w:rPr/>
      </w:pPr>
      <w:r>
        <w:rPr>
          <w:sz w:val="24"/>
          <w:rtl w:val="true"/>
        </w:rPr>
        <w:tab/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החזקת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הורשה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נודעת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השלכות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במיוחד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האחרונות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שימוש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תכוף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לחסל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חשבונות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יריבים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כתוצאה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נפגעו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חפים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מפשע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השקפת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הפסיקה 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לגזור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למבצעיהן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מאסר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תקווה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שבדרך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לצמצם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ממדיה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התופעה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החומרה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המאפיינת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עניינו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המערער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נובעת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מהעובדה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פלילי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ורק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לאחרונה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ממושך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שנגזר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בעקבות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ביצועה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חבלה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בנסיבות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מחמירות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מלווה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בשימוש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חם</w:t>
      </w:r>
      <w:r>
        <w:rPr>
          <w:b/>
          <w:bCs/>
          <w:sz w:val="24"/>
          <w:rtl w:val="true"/>
        </w:rPr>
        <w:t>".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8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להרתיע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רובינשטיין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6861/06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17.1.07</w:t>
      </w:r>
      <w:r>
        <w:rPr>
          <w:sz w:val="24"/>
          <w:rtl w:val="true"/>
        </w:rPr>
        <w:t xml:space="preserve">)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המעט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שיכולים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לעשות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במאבק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הגואה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בענישה</w:t>
      </w:r>
      <w:r>
        <w:rPr>
          <w:b/>
          <w:bCs/>
          <w:sz w:val="24"/>
          <w:rtl w:val="true"/>
        </w:rPr>
        <w:t>".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9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גוזרת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שמניינם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1.1.06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- 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ויורשע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 xml:space="preserve">. </w:t>
      </w:r>
      <w:r>
        <w:rPr>
          <w:sz w:val="24"/>
        </w:rPr>
        <w:t>441/01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ירוצו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בחופף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-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סה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בזאת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להשמדת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הסכין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שנתפסה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בכליו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והודעה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העליון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ימים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ט</w:t>
      </w:r>
      <w:r>
        <w:rPr>
          <w:b/>
          <w:bCs/>
          <w:color w:val="000000"/>
          <w:sz w:val="22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rtl w:val="true"/>
        </w:rPr>
        <w:t>בשבט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ז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28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בינואר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2007</w:t>
      </w:r>
      <w:r>
        <w:rPr>
          <w:b/>
          <w:bCs/>
          <w:color w:val="000000"/>
          <w:sz w:val="22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הצדדים</w:t>
      </w:r>
      <w:r>
        <w:rPr>
          <w:b/>
          <w:bCs/>
          <w:color w:val="000000"/>
          <w:sz w:val="22"/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ברכה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בר</w:t>
      </w:r>
      <w:r>
        <w:rPr>
          <w:rFonts w:cs="David"/>
          <w:color w:val="000000"/>
          <w:sz w:val="22"/>
          <w:szCs w:val="22"/>
          <w:rtl w:val="true"/>
        </w:rPr>
        <w:t>-</w:t>
      </w:r>
      <w:r>
        <w:rPr>
          <w:color w:val="000000"/>
          <w:sz w:val="22"/>
          <w:sz w:val="22"/>
          <w:szCs w:val="22"/>
          <w:rtl w:val="true"/>
        </w:rPr>
        <w:t>זיו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54678313-5006/06</w:t>
      </w:r>
    </w:p>
    <w:p>
      <w:pPr>
        <w:pStyle w:val="Normal"/>
        <w:ind w:end="0"/>
        <w:jc w:val="both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tbl>
      <w:tblPr>
        <w:tblW w:w="237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בר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זיו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  <w:sz w:val="16"/>
          <w:szCs w:val="18"/>
        </w:rPr>
      </w:pPr>
      <w:bookmarkStart w:id="28" w:name="Decision1"/>
      <w:bookmarkStart w:id="29" w:name="סוג_מסמך"/>
      <w:bookmarkEnd w:id="28"/>
      <w:bookmarkEnd w:id="29"/>
      <w:r>
        <w:rPr>
          <w:sz w:val="16"/>
          <w:sz w:val="16"/>
          <w:szCs w:val="18"/>
          <w:rtl w:val="true"/>
        </w:rPr>
        <w:t>קלדנית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Cs w:val="18"/>
          <w:rtl w:val="true"/>
        </w:rPr>
        <w:t xml:space="preserve">- </w:t>
      </w:r>
      <w:r>
        <w:rPr>
          <w:sz w:val="16"/>
          <w:sz w:val="16"/>
          <w:szCs w:val="18"/>
          <w:rtl w:val="true"/>
        </w:rPr>
        <w:t>עדי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שיטרית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/Users/liorb/Downloads/study2025-p2/m06005006-389.doc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5006/06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זלאם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אחסאן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ruller4">
    <w:name w:val="ruller4"/>
    <w:basedOn w:val="Normal"/>
    <w:qFormat/>
    <w:pPr>
      <w:overflowPunct w:val="false"/>
      <w:autoSpaceDE w:val="false"/>
      <w:ind w:hanging="0" w:start="0" w:end="0"/>
      <w:jc w:val="both"/>
    </w:pPr>
    <w:rPr>
      <w:rFonts w:ascii="Arial TUR;Arial" w:hAnsi="Arial TUR;Arial" w:eastAsia="Arial Unicode MS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2007-01-28T20:13:00Z</dcterms:created>
  <dc:creator> </dc:creator>
  <dc:description/>
  <dc:language>en-IL</dc:language>
  <cp:lastModifiedBy>administrator</cp:lastModifiedBy>
  <dcterms:modified xsi:type="dcterms:W3CDTF">2007-04-04T08:45:00Z</dcterms:modified>
  <cp:revision>6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זלאם אחסאן</vt:lpwstr>
  </property>
  <property fmtid="{D5CDD505-2E9C-101B-9397-08002B2CF9AE}" pid="4" name="CITY">
    <vt:lpwstr>חי'</vt:lpwstr>
  </property>
  <property fmtid="{D5CDD505-2E9C-101B-9397-08002B2CF9AE}" pid="5" name="DATE">
    <vt:lpwstr>20070128</vt:lpwstr>
  </property>
  <property fmtid="{D5CDD505-2E9C-101B-9397-08002B2CF9AE}" pid="6" name="DELEMATA">
    <vt:lpwstr>http://elyon2.court.gov.il/scripts9/mgrqispi93.dll?Appname=eScourt&amp;Prgname=GetFileDetails&amp;Arguments=-N2007-002638-0</vt:lpwstr>
  </property>
  <property fmtid="{D5CDD505-2E9C-101B-9397-08002B2CF9AE}" pid="7" name="ISABSTRACT">
    <vt:lpwstr>Y</vt:lpwstr>
  </property>
  <property fmtid="{D5CDD505-2E9C-101B-9397-08002B2CF9AE}" pid="8" name="JUDGE">
    <vt:lpwstr>ברכה בר-זיו</vt:lpwstr>
  </property>
  <property fmtid="{D5CDD505-2E9C-101B-9397-08002B2CF9AE}" pid="9" name="LAWYER">
    <vt:lpwstr>שחאדה אדהם;גושן;ברבארה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>http://www.nevo.co.il/Psika_word/elyon/07026380-l01-et.doc;להחלטה בעליון (01-04-07) # ע''פ 2638/07 אחסאן אבו זאלם נ' מדינת ישראל # שופטים: יגאל מרזל#עו''ד: ברבארה האני, פרקליטות המדינה</vt:lpwstr>
  </property>
  <property fmtid="{D5CDD505-2E9C-101B-9397-08002B2CF9AE}" pid="14" name="LINKK2">
    <vt:lpwstr>http://www.nevo.co.il/psika_word/mechozi/m06005006-495.doc;להכרעת-דין במחוזי (25-12-06) # תפ (חי') 5006/06 מדינת ישראל נ' אבו זלאם אחסאן # שופטים: ברכה בר-זיו#עו''ד: שחאדה אדהם, גב' קדם, ברבארה</vt:lpwstr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5006</vt:lpwstr>
  </property>
  <property fmtid="{D5CDD505-2E9C-101B-9397-08002B2CF9AE}" pid="27" name="PROCYEAR">
    <vt:lpwstr>06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