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680"/>
        <w:gridCol w:w="2233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005246/06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מנחם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פינקלשטיין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12/04/2007</w:t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8"/>
              <w:ind w:end="0"/>
              <w:jc w:val="both"/>
              <w:rPr>
                <w:szCs w:val="26"/>
              </w:rPr>
            </w:pPr>
            <w:bookmarkStart w:id="1" w:name="FirstLawyer"/>
            <w:bookmarkStart w:id="2" w:name="FirstAppellant"/>
            <w:bookmarkStart w:id="3" w:name="שם_א"/>
            <w:bookmarkEnd w:id="1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נבון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8"/>
              <w:ind w:end="0"/>
              <w:jc w:val="center"/>
              <w:rPr>
                <w:sz w:val="34"/>
                <w:szCs w:val="32"/>
              </w:rPr>
            </w:pPr>
            <w:r>
              <w:rPr>
                <w:sz w:val="34"/>
                <w:szCs w:val="32"/>
                <w:rtl w:val="true"/>
              </w:rPr>
              <w:t xml:space="preserve">- </w:t>
            </w:r>
            <w:r>
              <w:rPr>
                <w:sz w:val="34"/>
                <w:sz w:val="34"/>
                <w:szCs w:val="32"/>
                <w:rtl w:val="true"/>
              </w:rPr>
              <w:t>נ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rtl w:val="true"/>
              </w:rPr>
              <w:t>ג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 w:val="34"/>
                <w:szCs w:val="32"/>
                <w:rtl w:val="true"/>
              </w:rPr>
              <w:t>ד</w:t>
            </w:r>
            <w:r>
              <w:rPr>
                <w:rFonts w:cs="Times New Roman"/>
                <w:sz w:val="34"/>
                <w:sz w:val="34"/>
                <w:szCs w:val="32"/>
                <w:rtl w:val="true"/>
              </w:rPr>
              <w:t xml:space="preserve"> </w:t>
            </w:r>
            <w:r>
              <w:rPr>
                <w:sz w:val="34"/>
                <w:szCs w:val="32"/>
                <w:rtl w:val="true"/>
              </w:rPr>
              <w:t xml:space="preserve">-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8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tcBorders/>
          </w:tcPr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חורי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אוסאמה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עלא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/>
              <w:t>xxxxxxxxx</w:t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בולוס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8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Style8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  <w:bookmarkStart w:id="6" w:name="LawTable"/>
      <w:bookmarkStart w:id="7" w:name="LawTable"/>
      <w:bookmarkEnd w:id="7"/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u w:val="single"/>
            <w:rtl w:val="true"/>
          </w:rPr>
          <w:t>)</w:t>
        </w:r>
      </w:hyperlink>
    </w:p>
    <w:p>
      <w:pPr>
        <w:pStyle w:val="Style8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</w:p>
    <w:p>
      <w:pPr>
        <w:pStyle w:val="Style8"/>
        <w:ind w:end="0"/>
        <w:jc w:val="both"/>
        <w:rPr>
          <w:rFonts w:ascii="FrankRuehl" w:hAnsi="FrankRuehl" w:cs="FrankRuehl"/>
          <w:b w:val="false"/>
          <w:bCs w:val="false"/>
          <w:sz w:val="24"/>
        </w:rPr>
      </w:pPr>
      <w:r>
        <w:rPr>
          <w:rFonts w:cs="FrankRuehl" w:ascii="FrankRuehl" w:hAnsi="FrankRuehl"/>
          <w:b w:val="false"/>
          <w:bCs w:val="false"/>
          <w:sz w:val="24"/>
          <w:rtl w:val="true"/>
        </w:rPr>
      </w:r>
      <w:bookmarkStart w:id="8" w:name="LawTable_End"/>
      <w:bookmarkStart w:id="9" w:name="LawTable_End"/>
      <w:bookmarkEnd w:id="9"/>
    </w:p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Style8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LastJudge"/>
      <w:bookmarkStart w:id="11" w:name="PsakDin"/>
      <w:bookmarkStart w:id="12" w:name="סוג_מסמך"/>
      <w:bookmarkEnd w:id="10"/>
      <w:bookmarkEnd w:id="11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Heading4"/>
        <w:ind w:end="0"/>
        <w:jc w:val="both"/>
        <w:rPr/>
      </w:pPr>
      <w:r>
        <w:rPr>
          <w:rtl w:val="true"/>
        </w:rPr>
        <w:t>כללי</w:t>
      </w:r>
    </w:p>
    <w:p>
      <w:pPr>
        <w:pStyle w:val="BodyTextIndent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bookmarkStart w:id="16" w:name="ABSTRACT_END"/>
      <w:bookmarkEnd w:id="16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הרמס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").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tl w:val="true"/>
        </w:rPr>
        <w:t xml:space="preserve">, </w:t>
      </w:r>
      <w:r>
        <w:rPr>
          <w:rtl w:val="true"/>
        </w:rPr>
        <w:t>קלע</w:t>
      </w:r>
      <w:r>
        <w:rPr>
          <w:rtl w:val="true"/>
        </w:rPr>
        <w:t xml:space="preserve">...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").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., </w:t>
      </w:r>
      <w:r>
        <w:rPr>
          <w:rtl w:val="true"/>
        </w:rPr>
        <w:t>המוכר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קבעו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7.12.06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בחוף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הלוויתן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7009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הסוכן</w:t>
      </w:r>
      <w:r>
        <w:rPr>
          <w:rtl w:val="true"/>
        </w:rPr>
        <w:t xml:space="preserve">"),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בתיווכו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..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יונדאי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ביונדאי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בדיקתו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מתקבעת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בולוס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., </w:t>
      </w:r>
      <w:r>
        <w:rPr>
          <w:rtl w:val="true"/>
        </w:rPr>
        <w:t>שממנה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כמאבטח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ידידות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תחזוק</w:t>
      </w:r>
      <w:r>
        <w:rPr>
          <w:rtl w:val="true"/>
        </w:rPr>
        <w:t xml:space="preserve">"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5,500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מלוכלך</w:t>
      </w:r>
      <w:r>
        <w:rPr>
          <w:rtl w:val="true"/>
        </w:rPr>
        <w:t xml:space="preserve">",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מלוכלך</w:t>
      </w:r>
      <w:r>
        <w:rPr>
          <w:rtl w:val="true"/>
        </w:rPr>
        <w:t xml:space="preserve">"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מקולקל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tl w:val="true"/>
        </w:rPr>
        <w:t xml:space="preserve">.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להפללתו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בהדחה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.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).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לקנס</w:t>
      </w:r>
      <w:r>
        <w:rPr>
          <w:rtl w:val="true"/>
        </w:rPr>
        <w:t xml:space="preserve">.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: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2549/05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).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</w:t>
      </w:r>
      <w:r>
        <w:rPr>
          <w:rtl w:val="true"/>
        </w:rPr>
        <w:t xml:space="preserve">, </w:t>
      </w:r>
      <w:r>
        <w:rPr>
          <w:rtl w:val="true"/>
        </w:rPr>
        <w:t>כמוזכר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להיפטר</w:t>
      </w:r>
      <w:r>
        <w:rPr>
          <w:rtl w:val="true"/>
        </w:rPr>
        <w:t xml:space="preserve">" </w:t>
      </w:r>
      <w:r>
        <w:rPr>
          <w:rtl w:val="true"/>
        </w:rPr>
        <w:t>מהנשק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דיון</w:t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רק</w:t>
      </w:r>
      <w:r>
        <w:rPr>
          <w:rtl w:val="true"/>
        </w:rPr>
        <w:t xml:space="preserve">"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.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מקילות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בכליאה</w:t>
      </w:r>
      <w:r>
        <w:rPr>
          <w:rtl w:val="true"/>
        </w:rPr>
        <w:t xml:space="preserve">.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,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מופעל</w:t>
      </w:r>
      <w:r>
        <w:rPr>
          <w:rtl w:val="true"/>
        </w:rPr>
        <w:t xml:space="preserve">,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 </w:t>
      </w:r>
      <w:r>
        <w:rPr/>
        <w:t>2549/05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7.12.06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והודע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מנחם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פינקלשטיין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54678313-5246/06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פינקלשטיין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  <w:szCs w:val="20"/>
        </w:rPr>
      </w:pPr>
      <w:r>
        <w:rPr>
          <w:b/>
          <w:bCs/>
          <w:color w:val="FF0000"/>
          <w:szCs w:val="20"/>
          <w:rtl w:val="true"/>
        </w:rPr>
      </w:r>
      <w:bookmarkStart w:id="17" w:name="סוג_מסמך"/>
      <w:bookmarkStart w:id="18" w:name="סוג_מסמך"/>
      <w:bookmarkEnd w:id="18"/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szCs w:val="20"/>
          <w:rtl w:val="true"/>
        </w:rPr>
        <w:t>דיאנה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א</w:t>
      </w:r>
      <w:r>
        <w:rPr>
          <w:szCs w:val="20"/>
          <w:rtl w:val="true"/>
        </w:rPr>
        <w:t>.</w:t>
      </w:r>
    </w:p>
    <w:p>
      <w:pPr>
        <w:pStyle w:val="Normal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sectPr>
      <w:headerReference w:type="default" r:id="rId10"/>
      <w:footerReference w:type="default" r:id="rId11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/Users/liorb/Downloads/study2025-p2/m06005246-558.doc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5246/06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חורי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אוסאמה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עלא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720" w:start="720" w:end="0"/>
      <w:jc w:val="both"/>
      <w:outlineLvl w:val="5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72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1440" w:end="0"/>
      <w:jc w:val="both"/>
    </w:pPr>
    <w:rPr/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2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186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2016-09-22T14:22:00Z</dcterms:created>
  <dc:creator> </dc:creator>
  <dc:description/>
  <cp:keywords/>
  <dc:language>en-IL</dc:language>
  <cp:lastModifiedBy>yafit</cp:lastModifiedBy>
  <dcterms:modified xsi:type="dcterms:W3CDTF">2016-09-22T14:22:00Z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חורי בן אוסאמה עלא</vt:lpwstr>
  </property>
  <property fmtid="{D5CDD505-2E9C-101B-9397-08002B2CF9AE}" pid="4" name="CASENOTES1">
    <vt:lpwstr>ProcID=209&amp;PartA=2549&amp;PartC=05</vt:lpwstr>
  </property>
  <property fmtid="{D5CDD505-2E9C-101B-9397-08002B2CF9AE}" pid="5" name="CITY">
    <vt:lpwstr>חי'</vt:lpwstr>
  </property>
  <property fmtid="{D5CDD505-2E9C-101B-9397-08002B2CF9AE}" pid="6" name="DATE">
    <vt:lpwstr>20070412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מנחם פינקלשטיין</vt:lpwstr>
  </property>
  <property fmtid="{D5CDD505-2E9C-101B-9397-08002B2CF9AE}" pid="10" name="LAWLISTTMP1">
    <vt:lpwstr>70301/144.b2;186.a:2</vt:lpwstr>
  </property>
  <property fmtid="{D5CDD505-2E9C-101B-9397-08002B2CF9AE}" pid="11" name="LAWYER">
    <vt:lpwstr>יריב נבון;חנא בולוס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5246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