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8"/>
        <w:gridCol w:w="992"/>
        <w:gridCol w:w="2093"/>
      </w:tblGrid>
      <w:tr>
        <w:trPr>
          <w:trHeight w:val="195" w:hRule="atLeast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בחיפה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006075/07</w:t>
            </w:r>
          </w:p>
        </w:tc>
      </w:tr>
      <w:tr>
        <w:trPr>
          <w:trHeight w:val="195" w:hRule="atLeast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</w:tabs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עודד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גרשון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sz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27/04/2008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347"/>
        <w:gridCol w:w="425"/>
        <w:gridCol w:w="1048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820" w:type="dxa"/>
            <w:gridSpan w:val="3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bookmarkStart w:id="3" w:name="שם_א"/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  <w:bookmarkEnd w:id="3"/>
          </w:p>
        </w:tc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בעניין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bookmarkStart w:id="4" w:name="FirstLawyer"/>
            <w:bookmarkEnd w:id="4"/>
            <w:r>
              <w:rPr>
                <w:sz w:val="24"/>
                <w:sz w:val="24"/>
                <w:rtl w:val="true"/>
              </w:rPr>
              <w:t>המאשימה</w:t>
            </w:r>
          </w:p>
        </w:tc>
        <w:tc>
          <w:tcPr>
            <w:tcW w:w="3772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פרקליטות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מחוז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1048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1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bookmarkStart w:id="5" w:name="שם_ב"/>
            <w:r>
              <w:rPr>
                <w:sz w:val="24"/>
                <w:sz w:val="24"/>
                <w:rtl w:val="true"/>
              </w:rPr>
              <w:t>חיים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משה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ת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</w:rPr>
              <w:t>029669298</w:t>
            </w:r>
            <w:bookmarkEnd w:id="5"/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הנאשם</w:t>
            </w:r>
          </w:p>
        </w:tc>
        <w:tc>
          <w:tcPr>
            <w:tcW w:w="3347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bookmarkStart w:id="6" w:name="בא_כוח_ב"/>
            <w:r>
              <w:rPr>
                <w:sz w:val="24"/>
                <w:sz w:val="24"/>
                <w:rtl w:val="true"/>
              </w:rPr>
              <w:t>יריב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אבים</w:t>
            </w:r>
            <w:bookmarkEnd w:id="6"/>
          </w:p>
        </w:tc>
        <w:tc>
          <w:tcPr>
            <w:tcW w:w="1473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25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</w:rPr>
          <w:t>2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4"/>
          </w:rPr>
          <w:t>1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</w:rPr>
          <w:t>2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</w:rPr>
          <w:t>3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</w:rPr>
          <w:t>192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</w:rPr>
          <w:t>275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</w:rPr>
          <w:t>284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</w:rPr>
          <w:t>406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</w:rPr>
          <w:t>413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z w:val="24"/>
          </w:rPr>
          <w:t>499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4"/>
          </w:rPr>
          <w:t>1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17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הגנת הפרטיות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1981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sz w:val="24"/>
          </w:rPr>
          <w:t>16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rFonts w:cs="FrankRuehl"/>
          <w:sz w:val="24"/>
          <w:szCs w:val="26"/>
        </w:rPr>
      </w:pPr>
      <w:bookmarkStart w:id="11" w:name="ABSTRACT_START"/>
      <w:bookmarkEnd w:id="11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המשרת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כשוטר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1998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לקשירת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לקשירת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נשיאה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הפרעה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לשוטר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כדלקמן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ריבוין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וגיוונן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שוטר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שייעודו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שבסופו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לרשויות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לחשוף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שוטרים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הטמינו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מטענים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אצל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אעפ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למשפחת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נלקחו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שפוטר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מעבודתו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ובמעצר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22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במעצר</w:t>
      </w:r>
      <w:r>
        <w:rPr>
          <w:rFonts w:cs="FrankRuehl"/>
          <w:sz w:val="24"/>
          <w:szCs w:val="26"/>
          <w:rtl w:val="true"/>
        </w:rPr>
        <w:t xml:space="preserve">.  </w:t>
      </w:r>
    </w:p>
    <w:p>
      <w:pPr>
        <w:pStyle w:val="Normal"/>
        <w:ind w:end="0"/>
        <w:jc w:val="center"/>
        <w:rPr>
          <w:rFonts w:cs="FrankRuehl"/>
          <w:b/>
          <w:bCs/>
          <w:sz w:val="32"/>
          <w:szCs w:val="32"/>
          <w:u w:val="single"/>
        </w:rPr>
      </w:pPr>
      <w:r>
        <w:rPr>
          <w:rFonts w:cs="FrankRuehl"/>
          <w:b/>
          <w:bCs/>
          <w:sz w:val="32"/>
          <w:szCs w:val="32"/>
          <w:u w:val="single"/>
          <w:rtl w:val="true"/>
        </w:rPr>
      </w:r>
      <w:bookmarkStart w:id="12" w:name="LastJudge"/>
      <w:bookmarkStart w:id="13" w:name="ABSTRACT_END"/>
      <w:bookmarkStart w:id="14" w:name="PsakDin"/>
      <w:bookmarkStart w:id="15" w:name="LastJudge"/>
      <w:bookmarkStart w:id="16" w:name="ABSTRACT_END"/>
      <w:bookmarkStart w:id="17" w:name="PsakDin"/>
      <w:bookmarkEnd w:id="15"/>
      <w:bookmarkEnd w:id="16"/>
      <w:bookmarkEnd w:id="17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hanging="720" w:start="720" w:end="0"/>
        <w:jc w:val="both"/>
        <w:rPr>
          <w:u w:val="single"/>
        </w:rPr>
      </w:pPr>
      <w:bookmarkStart w:id="18" w:name="PsakDin"/>
      <w:bookmarkEnd w:id="18"/>
      <w:r>
        <w:rPr>
          <w:b/>
          <w:bCs/>
        </w:rPr>
        <w:t>1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מבוא</w:t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שסרח</w:t>
      </w:r>
      <w:r>
        <w:rPr>
          <w:rtl w:val="true"/>
        </w:rPr>
        <w:t xml:space="preserve">.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לעבריין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אקדים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, </w:t>
      </w:r>
      <w:r>
        <w:rPr>
          <w:rtl w:val="true"/>
        </w:rPr>
        <w:t>ואלמלא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</w:rPr>
        <w:t>2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פרט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הראשון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. </w:t>
      </w:r>
      <w:r>
        <w:rPr>
          <w:rtl w:val="true"/>
        </w:rPr>
        <w:t>דרגתו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הצפון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  <w:tab/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' 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הסוכן</w:t>
      </w:r>
      <w:r>
        <w:rPr>
          <w:b/>
          <w:bCs/>
          <w:rtl w:val="true"/>
        </w:rPr>
        <w:t xml:space="preserve">")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  <w:tab/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1.11.06</w:t>
      </w:r>
      <w:r>
        <w:rPr>
          <w:rtl w:val="true"/>
        </w:rPr>
        <w:t xml:space="preserve">,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המבטחים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</w:t>
        <w:tab/>
        <w:tab/>
      </w:r>
      <w:r>
        <w:rPr>
          <w:rtl w:val="true"/>
        </w:rPr>
        <w:t>כארבע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צציס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אורן</w:t>
      </w:r>
      <w:r>
        <w:rPr>
          <w:b/>
          <w:bCs/>
          <w:rtl w:val="true"/>
        </w:rPr>
        <w:t xml:space="preserve">")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28,000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/>
        <w:t>16,000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. </w:t>
        <w:tab/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לאורן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.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. </w:t>
        <w:tab/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ורכבו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אורן</w:t>
      </w:r>
      <w:r>
        <w:rPr>
          <w:rtl w:val="true"/>
        </w:rPr>
        <w:t xml:space="preserve">.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בשימושו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אורן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. </w:t>
        <w:tab/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20.5.07</w:t>
      </w:r>
      <w:r>
        <w:rPr>
          <w:rtl w:val="true"/>
        </w:rPr>
        <w:t xml:space="preserve">, </w:t>
      </w:r>
      <w:r>
        <w:rPr>
          <w:rtl w:val="true"/>
        </w:rPr>
        <w:t>בהנחיית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10-20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הביטוח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. </w:t>
        <w:tab/>
        <w:tab/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לפשע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499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)(</w:t>
        </w:r>
        <w:r>
          <w:rPr>
            <w:rStyle w:val="Hyperlink"/>
            <w:b/>
            <w:bCs/>
          </w:rPr>
          <w:t>1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+ </w:t>
      </w:r>
      <w:hyperlink r:id="rId20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413</w:t>
        </w:r>
        <w:r>
          <w:rPr>
            <w:rStyle w:val="Hyperlink"/>
            <w:b/>
            <w:b/>
            <w:bCs/>
            <w:rtl w:val="true"/>
          </w:rPr>
          <w:t>ה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+ </w:t>
      </w:r>
      <w:hyperlink r:id="rId21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2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"); </w:t>
      </w:r>
      <w:r>
        <w:rPr>
          <w:b/>
          <w:b/>
          <w:bCs/>
          <w:rtl w:val="true"/>
        </w:rPr>
        <w:t>סודיות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4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הגנת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הפרטיות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1981</w:t>
      </w:r>
      <w:r>
        <w:rPr>
          <w:b/>
          <w:bCs/>
          <w:rtl w:val="true"/>
        </w:rPr>
        <w:t>.</w:t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פרט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השני</w:t>
      </w:r>
      <w:r>
        <w:rPr>
          <w:b/>
          <w:bCs/>
          <w:rtl w:val="true"/>
        </w:rPr>
        <w:t>: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. </w:t>
        <w:tab/>
        <w:tab/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כספה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. </w:t>
        <w:tab/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20.5.07</w:t>
      </w:r>
      <w:r>
        <w:rPr>
          <w:rtl w:val="true"/>
        </w:rPr>
        <w:t xml:space="preserve">, </w:t>
      </w:r>
      <w:r>
        <w:rPr>
          <w:rtl w:val="true"/>
        </w:rPr>
        <w:t>בהנחיית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הפריצה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300-400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ולהזהיר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הפורץ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הפריצה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יא</w:t>
      </w:r>
      <w:r>
        <w:rPr>
          <w:b/>
          <w:bCs/>
          <w:rtl w:val="true"/>
        </w:rPr>
        <w:t xml:space="preserve">. </w:t>
        <w:tab/>
        <w:tab/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והפרת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אמונים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284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לפשע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499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)(</w:t>
        </w:r>
        <w:r>
          <w:rPr>
            <w:rStyle w:val="Hyperlink"/>
            <w:b/>
            <w:bCs/>
          </w:rPr>
          <w:t>1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+ </w:t>
      </w:r>
      <w:hyperlink r:id="rId27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406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+ </w:t>
      </w:r>
      <w:hyperlink r:id="rId28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>.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פרט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השלישי</w:t>
      </w:r>
      <w:r>
        <w:rPr>
          <w:b/>
          <w:bCs/>
          <w:rtl w:val="true"/>
        </w:rPr>
        <w:t>:</w:t>
      </w:r>
    </w:p>
    <w:p>
      <w:pPr>
        <w:pStyle w:val="Normal"/>
        <w:ind w:hanging="720" w:start="144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יב</w:t>
      </w:r>
      <w:r>
        <w:rPr>
          <w:b/>
          <w:bCs/>
          <w:rtl w:val="true"/>
        </w:rPr>
        <w:t xml:space="preserve">. </w:t>
        <w:tab/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16.4.07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</w:t>
      </w:r>
      <w:r>
        <w:rPr>
          <w:rtl w:val="true"/>
        </w:rPr>
        <w:t xml:space="preserve">. </w:t>
      </w:r>
      <w:r>
        <w:rPr>
          <w:rtl w:val="true"/>
        </w:rPr>
        <w:t>משנזקק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לכסף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יג</w:t>
      </w:r>
      <w:r>
        <w:rPr>
          <w:b/>
          <w:bCs/>
          <w:rtl w:val="true"/>
        </w:rPr>
        <w:t xml:space="preserve">. </w:t>
        <w:tab/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יד</w:t>
      </w:r>
      <w:r>
        <w:rPr>
          <w:b/>
          <w:bCs/>
          <w:rtl w:val="true"/>
        </w:rPr>
        <w:t xml:space="preserve">. </w:t>
        <w:tab/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עפרון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הזיקוקים</w:t>
      </w:r>
      <w:r>
        <w:rPr>
          <w:b/>
          <w:bCs/>
          <w:rtl w:val="true"/>
        </w:rPr>
        <w:t xml:space="preserve">")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0.22</w:t>
      </w:r>
      <w:r>
        <w:rPr>
          <w:rtl w:val="true"/>
        </w:rPr>
        <w:t xml:space="preserve">. </w:t>
      </w:r>
      <w:r>
        <w:rPr>
          <w:rtl w:val="true"/>
        </w:rPr>
        <w:t>משהשיב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שהעפרון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בעפרון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0.22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בעפרון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טו</w:t>
      </w:r>
      <w:r>
        <w:rPr>
          <w:b/>
          <w:bCs/>
          <w:rtl w:val="true"/>
        </w:rPr>
        <w:t xml:space="preserve">. </w:t>
        <w:tab/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20.5.07</w:t>
      </w:r>
      <w:r>
        <w:rPr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מדמיע</w:t>
      </w:r>
      <w:r>
        <w:rPr>
          <w:rtl w:val="true"/>
        </w:rPr>
        <w:t xml:space="preserve">,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tl w:val="true"/>
        </w:rPr>
        <w:t xml:space="preserve">, </w:t>
      </w:r>
      <w:r>
        <w:rPr>
          <w:rtl w:val="true"/>
        </w:rPr>
        <w:t>המשרת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מדמיע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0.22</w:t>
      </w:r>
      <w:r>
        <w:rPr>
          <w:rtl w:val="true"/>
        </w:rPr>
        <w:t xml:space="preserve">, </w:t>
      </w:r>
      <w:r>
        <w:rPr>
          <w:rtl w:val="true"/>
        </w:rPr>
        <w:t>כפרעון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טז</w:t>
      </w:r>
      <w:r>
        <w:rPr>
          <w:b/>
          <w:bCs/>
          <w:rtl w:val="true"/>
        </w:rPr>
        <w:t xml:space="preserve">. </w:t>
        <w:tab/>
        <w:tab/>
      </w:r>
      <w:r>
        <w:rPr>
          <w:rtl w:val="true"/>
        </w:rPr>
        <w:t>ואמנם</w:t>
      </w:r>
      <w:r>
        <w:rPr>
          <w:rtl w:val="true"/>
        </w:rPr>
        <w:t xml:space="preserve">,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515</w:t>
      </w:r>
      <w:r>
        <w:rPr>
          <w:rtl w:val="true"/>
        </w:rPr>
        <w:t xml:space="preserve">, </w:t>
      </w:r>
      <w:r>
        <w:rPr>
          <w:rtl w:val="true"/>
        </w:rPr>
        <w:t>המהווים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כמשמעותו</w:t>
      </w:r>
      <w:r>
        <w:rPr>
          <w:rFonts w:cs="Times New Roman"/>
          <w:b/>
          <w:b/>
          <w:bCs/>
          <w:rtl w:val="true"/>
        </w:rPr>
        <w:t xml:space="preserve"> </w:t>
      </w:r>
      <w:hyperlink r:id="rId29">
        <w:r>
          <w:rPr>
            <w:rStyle w:val="Hyperlink"/>
            <w:b/>
            <w:b/>
            <w:bCs/>
            <w:rtl w:val="true"/>
          </w:rPr>
          <w:t>בסעיף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ועפרון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יז</w:t>
      </w:r>
      <w:r>
        <w:rPr>
          <w:b/>
          <w:bCs/>
          <w:rtl w:val="true"/>
        </w:rPr>
        <w:t xml:space="preserve">. </w:t>
        <w:tab/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27.5.07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והסוכן</w:t>
      </w:r>
      <w:r>
        <w:rPr>
          <w:rtl w:val="true"/>
        </w:rPr>
        <w:t xml:space="preserve">, </w:t>
      </w:r>
      <w:r>
        <w:rPr>
          <w:rtl w:val="true"/>
        </w:rPr>
        <w:t>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tl w:val="true"/>
        </w:rPr>
        <w:t xml:space="preserve">,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לחורשה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560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CS</w:t>
      </w:r>
      <w:r>
        <w:rPr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0.22</w:t>
      </w:r>
      <w:r>
        <w:rPr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/>
        <w:t>101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המונח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b/>
            <w:b/>
            <w:bCs/>
            <w:rtl w:val="true"/>
          </w:rPr>
          <w:t>בסעיפים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ג</w:t>
        </w:r>
        <w:r>
          <w:rPr>
            <w:rStyle w:val="Hyperlink"/>
            <w:b/>
            <w:bCs/>
            <w:rtl w:val="true"/>
          </w:rPr>
          <w:t>)(</w:t>
        </w:r>
        <w:r>
          <w:rPr>
            <w:rStyle w:val="Hyperlink"/>
            <w:b/>
            <w:bCs/>
          </w:rPr>
          <w:t>1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, </w:t>
      </w:r>
      <w:hyperlink r:id="rId31"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Cs/>
          </w:rPr>
          <w:t>2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, </w:t>
      </w:r>
      <w:hyperlink r:id="rId32"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Cs/>
          </w:rPr>
          <w:t>3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>.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יח</w:t>
      </w:r>
      <w:r>
        <w:rPr>
          <w:b/>
          <w:bCs/>
          <w:rtl w:val="true"/>
        </w:rPr>
        <w:t xml:space="preserve">. </w:t>
        <w:tab/>
        <w:tab/>
      </w:r>
      <w:r>
        <w:rPr>
          <w:rtl w:val="true"/>
        </w:rPr>
        <w:t>משנפגשו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בעיתון</w:t>
      </w:r>
      <w:r>
        <w:rPr>
          <w:rtl w:val="true"/>
        </w:rPr>
        <w:t xml:space="preserve">, </w:t>
      </w:r>
      <w:r>
        <w:rPr>
          <w:rtl w:val="true"/>
        </w:rPr>
        <w:t>ובקש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העיתון</w:t>
      </w:r>
      <w:r>
        <w:rPr>
          <w:rtl w:val="true"/>
        </w:rPr>
        <w:t xml:space="preserve">,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והוסכם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נפרע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 xml:space="preserve">. </w:t>
        <w:tab/>
        <w:tab/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27.5.07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המונח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b/>
            <w:b/>
            <w:bCs/>
            <w:rtl w:val="true"/>
          </w:rPr>
          <w:t>בסעיף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ג</w:t>
        </w:r>
        <w:r>
          <w:rPr>
            <w:rStyle w:val="Hyperlink"/>
            <w:b/>
            <w:bCs/>
            <w:rtl w:val="true"/>
          </w:rPr>
          <w:t>)(</w:t>
        </w:r>
        <w:r>
          <w:rPr>
            <w:rStyle w:val="Hyperlink"/>
            <w:b/>
            <w:bCs/>
          </w:rPr>
          <w:t>1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, </w:t>
      </w:r>
      <w:hyperlink r:id="rId34"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Cs/>
          </w:rPr>
          <w:t>3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,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בשניה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,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; </w:t>
      </w:r>
      <w:r>
        <w:rPr>
          <w:rtl w:val="true"/>
        </w:rPr>
        <w:t>קופסא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;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שקיות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/>
        <w:t>380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; 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;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;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0.45</w:t>
      </w:r>
      <w:r>
        <w:rPr>
          <w:rtl w:val="true"/>
        </w:rPr>
        <w:t xml:space="preserve"> </w:t>
      </w:r>
      <w:r>
        <w:rPr>
          <w:rtl w:val="true"/>
        </w:rPr>
        <w:t>אינץ</w:t>
      </w:r>
      <w:r>
        <w:rPr>
          <w:rtl w:val="true"/>
        </w:rPr>
        <w:t>'.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כא</w:t>
      </w:r>
      <w:r>
        <w:rPr>
          <w:b/>
          <w:bCs/>
          <w:rtl w:val="true"/>
        </w:rPr>
        <w:t>.</w:t>
        <w:tab/>
        <w:tab/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35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וסיפא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 </w:t>
      </w:r>
      <w:hyperlink r:id="rId36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וסיפא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Cs/>
          <w:rtl w:val="true"/>
        </w:rPr>
        <w:t xml:space="preserve">);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37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</w:rPr>
          <w:t>2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והפרת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אמונים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284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>.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פרט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הרביעי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כב</w:t>
      </w:r>
      <w:r>
        <w:rPr>
          <w:b/>
          <w:bCs/>
          <w:rtl w:val="true"/>
        </w:rPr>
        <w:t xml:space="preserve">. </w:t>
        <w:tab/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27.5.07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16:15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כג</w:t>
      </w:r>
      <w:r>
        <w:rPr>
          <w:b/>
          <w:bCs/>
          <w:rtl w:val="true"/>
        </w:rPr>
        <w:t xml:space="preserve">. </w:t>
        <w:tab/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קלטות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להשיבן</w:t>
      </w:r>
      <w:r>
        <w:rPr>
          <w:rtl w:val="true"/>
        </w:rPr>
        <w:t xml:space="preserve">. </w:t>
      </w:r>
      <w:r>
        <w:rPr>
          <w:rtl w:val="true"/>
        </w:rPr>
        <w:t>החוקר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הקלטות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הקלטות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לאחיזתם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אלכס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תחזיר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הקלטות</w:t>
      </w:r>
      <w:r>
        <w:rPr>
          <w:b/>
          <w:bCs/>
          <w:rtl w:val="true"/>
        </w:rPr>
        <w:t>". (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הקלטות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ולהכשילו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בתפקידו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הפרעה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275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ובאיומים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40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192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הסדר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הטיעון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tl w:val="true"/>
        </w:rPr>
        <w:t xml:space="preserve">.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מהצדדים</w:t>
      </w:r>
      <w:r>
        <w:rPr>
          <w:b/>
          <w:bCs/>
          <w:rtl w:val="true"/>
        </w:rPr>
        <w:t xml:space="preserve">". 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ועשרה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  <w:tab/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  <w:tab/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</w:t>
      </w:r>
      <w:r>
        <w:rPr>
          <w:rtl w:val="true"/>
        </w:rPr>
        <w:t xml:space="preserve">, </w:t>
      </w:r>
      <w:r>
        <w:rPr>
          <w:rtl w:val="true"/>
        </w:rPr>
        <w:t>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דליה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פלדמן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tl w:val="true"/>
        </w:rPr>
        <w:t xml:space="preserve">)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נישואיהם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ילדותו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ואמנם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 </w:t>
      </w:r>
      <w:r>
        <w:rPr>
          <w:rtl w:val="true"/>
        </w:rPr>
        <w:t>הגשים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והתגייס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מקצועיות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יוזמה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אחריות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נחישות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וכושר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וההישגים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tl w:val="true"/>
        </w:rPr>
        <w:t xml:space="preserve">, </w:t>
      </w:r>
      <w:r>
        <w:rPr>
          <w:rtl w:val="true"/>
        </w:rPr>
        <w:t>המצריך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וזהירות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rtl w:val="true"/>
        </w:rPr>
        <w:tab/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ולבני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שבעקבותיה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המשכנתא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העובדת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שמכר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האופנוע</w:t>
      </w:r>
      <w:r>
        <w:rPr>
          <w:b/>
          <w:bCs/>
          <w:rtl w:val="true"/>
        </w:rPr>
        <w:t xml:space="preserve">),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.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שהותיר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תסכול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אובדן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שהשתלט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b/>
          <w:bCs/>
          <w:rtl w:val="true"/>
        </w:rPr>
        <w:t xml:space="preserve">"".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Style15"/>
        <w:ind w:hanging="0" w:start="2160" w:end="567"/>
        <w:jc w:val="both"/>
        <w:rPr>
          <w:b/>
          <w:bCs/>
          <w:sz w:val="24"/>
        </w:rPr>
      </w:pPr>
      <w:r>
        <w:rPr>
          <w:rFonts w:cs="David"/>
          <w:b/>
          <w:bCs/>
          <w:sz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rtl w:val="true"/>
        </w:rPr>
        <w:t>התחושות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המתוארות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כמו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גם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ההתדרדרות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הקשה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במצבו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הכלכלי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והחשש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כי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יאבד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דירתו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כפי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שקרה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להוריו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היוו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הרקע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לביצוע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העבירות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הנדונות</w:t>
      </w:r>
      <w:r>
        <w:rPr>
          <w:rFonts w:cs="David"/>
          <w:b/>
          <w:bCs/>
          <w:sz w:val="24"/>
          <w:rtl w:val="true"/>
        </w:rPr>
        <w:t>".</w:t>
      </w:r>
    </w:p>
    <w:p>
      <w:pPr>
        <w:pStyle w:val="Normal"/>
        <w:ind w:hanging="720" w:start="720" w:end="0"/>
        <w:jc w:val="both"/>
        <w:rPr>
          <w:rFonts w:cs="David"/>
          <w:b/>
          <w:bCs/>
          <w:sz w:val="24"/>
        </w:rPr>
      </w:pPr>
      <w:r>
        <w:rPr>
          <w:rFonts w:cs="David"/>
          <w:b/>
          <w:bCs/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15"/>
        <w:ind w:hanging="0" w:start="2160" w:end="567"/>
        <w:jc w:val="both"/>
        <w:rPr>
          <w:b/>
          <w:bCs/>
          <w:sz w:val="24"/>
        </w:rPr>
      </w:pPr>
      <w:r>
        <w:rPr>
          <w:rFonts w:cs="David"/>
          <w:b/>
          <w:bCs/>
          <w:sz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rtl w:val="true"/>
        </w:rPr>
        <w:t>חיים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מקבל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אחריות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התנהגותו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ומבטא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צער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הדרך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הבעייתית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שבה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בחר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לנקוט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מנת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Cs/>
          <w:sz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rtl w:val="true"/>
        </w:rPr>
        <w:t>להתמודד</w:t>
      </w:r>
      <w:r>
        <w:rPr>
          <w:rFonts w:cs="David"/>
          <w:b/>
          <w:bCs/>
          <w:sz w:val="24"/>
          <w:rtl w:val="true"/>
        </w:rPr>
        <w:t xml:space="preserve">" </w:t>
      </w:r>
      <w:r>
        <w:rPr>
          <w:rFonts w:cs="David"/>
          <w:b/>
          <w:b/>
          <w:bCs/>
          <w:sz w:val="24"/>
          <w:sz w:val="24"/>
          <w:rtl w:val="true"/>
        </w:rPr>
        <w:t>עם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קשייו</w:t>
      </w:r>
      <w:r>
        <w:rPr>
          <w:rFonts w:cs="David"/>
          <w:b/>
          <w:bCs/>
          <w:sz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</w:rPr>
        <w:t>הוא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נוטה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למזער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ולצמצם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בחומרת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מעשיו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תוך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שהוא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מדגיש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כי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Cs/>
          <w:sz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rtl w:val="true"/>
        </w:rPr>
        <w:t>ציוד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הלחימה</w:t>
      </w:r>
      <w:r>
        <w:rPr>
          <w:rFonts w:cs="David"/>
          <w:b/>
          <w:bCs/>
          <w:sz w:val="24"/>
          <w:rtl w:val="true"/>
        </w:rPr>
        <w:t xml:space="preserve">" </w:t>
      </w:r>
      <w:r>
        <w:rPr>
          <w:rFonts w:cs="David"/>
          <w:b/>
          <w:b/>
          <w:bCs/>
          <w:sz w:val="24"/>
          <w:sz w:val="24"/>
          <w:rtl w:val="true"/>
        </w:rPr>
        <w:t>שנמצא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ברשותו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נותר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אצלו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מאירועי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אוקטובר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Cs/>
          <w:sz w:val="24"/>
        </w:rPr>
        <w:t>2000</w:t>
      </w:r>
      <w:r>
        <w:rPr>
          <w:rFonts w:cs="David"/>
          <w:b/>
          <w:bCs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והוא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לא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עשה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בהם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שימוש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כלשהו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עד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לעבירה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הנדונה</w:t>
      </w:r>
      <w:r>
        <w:rPr>
          <w:rFonts w:cs="David"/>
          <w:b/>
          <w:bCs/>
          <w:sz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</w:rPr>
        <w:t>בדרך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זו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מנה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חיים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Cs/>
          <w:sz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rtl w:val="true"/>
        </w:rPr>
        <w:t>להקל</w:t>
      </w:r>
      <w:r>
        <w:rPr>
          <w:rFonts w:cs="David"/>
          <w:b/>
          <w:bCs/>
          <w:sz w:val="24"/>
          <w:rtl w:val="true"/>
        </w:rPr>
        <w:t xml:space="preserve">" </w:t>
      </w:r>
      <w:r>
        <w:rPr>
          <w:rFonts w:cs="David"/>
          <w:b/>
          <w:b/>
          <w:bCs/>
          <w:sz w:val="24"/>
          <w:sz w:val="24"/>
          <w:rtl w:val="true"/>
        </w:rPr>
        <w:t>מעל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עצמו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המשמעות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החמורה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מעשיו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גם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כאשר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היה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סבור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כי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הציוד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הנ</w:t>
      </w:r>
      <w:r>
        <w:rPr>
          <w:rFonts w:cs="David"/>
          <w:b/>
          <w:bCs/>
          <w:sz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rtl w:val="true"/>
        </w:rPr>
        <w:t>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Cs/>
          <w:sz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rtl w:val="true"/>
        </w:rPr>
        <w:t>בדרך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סיבובית</w:t>
      </w:r>
      <w:r>
        <w:rPr>
          <w:rFonts w:cs="David"/>
          <w:b/>
          <w:bCs/>
          <w:sz w:val="24"/>
          <w:rtl w:val="true"/>
        </w:rPr>
        <w:t xml:space="preserve">" </w:t>
      </w:r>
      <w:r>
        <w:rPr>
          <w:rFonts w:cs="David"/>
          <w:b/>
          <w:b/>
          <w:bCs/>
          <w:sz w:val="24"/>
          <w:sz w:val="24"/>
          <w:rtl w:val="true"/>
        </w:rPr>
        <w:t>יחזור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למשטרה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ובכך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לא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יגרום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לנזק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נוסף</w:t>
      </w:r>
      <w:r>
        <w:rPr>
          <w:rFonts w:cs="David"/>
          <w:b/>
          <w:bCs/>
          <w:sz w:val="24"/>
          <w:rtl w:val="true"/>
        </w:rPr>
        <w:t>.</w:t>
      </w:r>
    </w:p>
    <w:p>
      <w:pPr>
        <w:pStyle w:val="Style15"/>
        <w:ind w:hanging="0" w:start="2160" w:end="567"/>
        <w:jc w:val="both"/>
        <w:rPr>
          <w:rFonts w:cs="David"/>
          <w:b/>
          <w:bCs/>
          <w:sz w:val="24"/>
        </w:rPr>
      </w:pPr>
      <w:r>
        <w:rPr>
          <w:rFonts w:cs="David"/>
          <w:b/>
          <w:bCs/>
          <w:sz w:val="24"/>
          <w:rtl w:val="true"/>
        </w:rPr>
      </w:r>
    </w:p>
    <w:p>
      <w:pPr>
        <w:pStyle w:val="Style15"/>
        <w:ind w:hanging="0" w:start="2160" w:end="567"/>
        <w:jc w:val="both"/>
        <w:rPr>
          <w:b/>
          <w:bCs/>
          <w:sz w:val="24"/>
        </w:rPr>
      </w:pPr>
      <w:r>
        <w:rPr>
          <w:rFonts w:cs="David"/>
          <w:b/>
          <w:b/>
          <w:bCs/>
          <w:sz w:val="24"/>
          <w:sz w:val="24"/>
          <w:rtl w:val="true"/>
        </w:rPr>
        <w:t>בהתייחסותו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חיים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לחומרת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מעשיו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הנדונים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קשה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שלא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לראות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Cs/>
          <w:sz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rtl w:val="true"/>
        </w:rPr>
        <w:t>העיוורון</w:t>
      </w:r>
      <w:r>
        <w:rPr>
          <w:rFonts w:cs="David"/>
          <w:b/>
          <w:bCs/>
          <w:sz w:val="24"/>
          <w:rtl w:val="true"/>
        </w:rPr>
        <w:t xml:space="preserve">" </w:t>
      </w:r>
      <w:r>
        <w:rPr>
          <w:rFonts w:cs="David"/>
          <w:b/>
          <w:b/>
          <w:bCs/>
          <w:sz w:val="24"/>
          <w:sz w:val="24"/>
          <w:rtl w:val="true"/>
        </w:rPr>
        <w:t>האתי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והמוסרי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בחציית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הגבולות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שבהתנהגותו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ובמקביל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לכך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הטשטוש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והעמימות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אליהם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היה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חשוף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במסגרת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עבודתו</w:t>
      </w:r>
      <w:r>
        <w:rPr>
          <w:rFonts w:cs="David"/>
          <w:b/>
          <w:bCs/>
          <w:sz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</w:rPr>
        <w:t>בהעדר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כוחות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Cs/>
          <w:sz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rtl w:val="true"/>
        </w:rPr>
        <w:t>אני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עליון</w:t>
      </w:r>
      <w:r>
        <w:rPr>
          <w:rFonts w:cs="David"/>
          <w:b/>
          <w:bCs/>
          <w:sz w:val="24"/>
          <w:rtl w:val="true"/>
        </w:rPr>
        <w:t xml:space="preserve">" </w:t>
      </w:r>
      <w:r>
        <w:rPr>
          <w:rFonts w:cs="David"/>
          <w:b/>
          <w:b/>
          <w:bCs/>
          <w:sz w:val="24"/>
          <w:sz w:val="24"/>
          <w:rtl w:val="true"/>
        </w:rPr>
        <w:t>מפותחים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דיים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בוצעו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העבירות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הנדונות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שהביאו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לקריסה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וניפוץ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Cs/>
          <w:sz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rtl w:val="true"/>
        </w:rPr>
        <w:t>החלום</w:t>
      </w:r>
      <w:r>
        <w:rPr>
          <w:rFonts w:cs="David"/>
          <w:b/>
          <w:bCs/>
          <w:sz w:val="24"/>
          <w:rtl w:val="true"/>
        </w:rPr>
        <w:t xml:space="preserve">", </w:t>
      </w:r>
      <w:r>
        <w:rPr>
          <w:rFonts w:cs="David"/>
          <w:b/>
          <w:b/>
          <w:bCs/>
          <w:sz w:val="24"/>
          <w:sz w:val="24"/>
          <w:rtl w:val="true"/>
        </w:rPr>
        <w:t>אותו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ניסה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להגשים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כאשר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התגייס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למשטרה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ובהמשך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הפר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ופגע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באבני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היסוד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עבודתו</w:t>
      </w:r>
      <w:r>
        <w:rPr>
          <w:rFonts w:cs="David"/>
          <w:b/>
          <w:bCs/>
          <w:sz w:val="24"/>
          <w:rtl w:val="true"/>
        </w:rPr>
        <w:t>.</w:t>
      </w:r>
    </w:p>
    <w:p>
      <w:pPr>
        <w:pStyle w:val="Style15"/>
        <w:ind w:hanging="0" w:start="2160" w:end="567"/>
        <w:jc w:val="both"/>
        <w:rPr>
          <w:rFonts w:cs="David"/>
          <w:b/>
          <w:bCs/>
          <w:sz w:val="24"/>
        </w:rPr>
      </w:pPr>
      <w:r>
        <w:rPr>
          <w:rFonts w:cs="David"/>
          <w:b/>
          <w:bCs/>
          <w:sz w:val="24"/>
          <w:rtl w:val="true"/>
        </w:rPr>
      </w:r>
    </w:p>
    <w:p>
      <w:pPr>
        <w:pStyle w:val="Style15"/>
        <w:ind w:hanging="0" w:start="2160" w:end="567"/>
        <w:jc w:val="both"/>
        <w:rPr>
          <w:b/>
          <w:bCs/>
          <w:sz w:val="24"/>
        </w:rPr>
      </w:pPr>
      <w:r>
        <w:rPr>
          <w:rFonts w:cs="David"/>
          <w:b/>
          <w:b/>
          <w:bCs/>
          <w:sz w:val="24"/>
          <w:sz w:val="24"/>
          <w:rtl w:val="true"/>
        </w:rPr>
        <w:t>במהלך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השיחות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הבינונו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כי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חיים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משקיע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היום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מאמציו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הרגשיים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בניסיון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לשקם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הפרק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הקשה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בחייו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באופן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קונסטרוקטיבי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עד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כמה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שניתן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ולתכנן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עתידו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התעסוקתי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החדש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באופן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שיסייע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בהתמודדות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המשך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חייו</w:t>
      </w:r>
      <w:r>
        <w:rPr>
          <w:rFonts w:cs="David"/>
          <w:b/>
          <w:bCs/>
          <w:sz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</w:rPr>
        <w:t>בני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משפחתו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הקרובים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תומכים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והוא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שואב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מכך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חוסן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נפשי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הוא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לא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ביטא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בפנינו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נזקקות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לקשר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טיפולי</w:t>
      </w:r>
      <w:r>
        <w:rPr>
          <w:rFonts w:cs="David"/>
          <w:b/>
          <w:bCs/>
          <w:sz w:val="24"/>
          <w:rtl w:val="true"/>
        </w:rPr>
        <w:t>.</w:t>
      </w:r>
    </w:p>
    <w:p>
      <w:pPr>
        <w:pStyle w:val="Style15"/>
        <w:ind w:hanging="0" w:start="2160" w:end="567"/>
        <w:jc w:val="both"/>
        <w:rPr>
          <w:rFonts w:cs="David"/>
          <w:b/>
          <w:bCs/>
          <w:sz w:val="24"/>
        </w:rPr>
      </w:pPr>
      <w:r>
        <w:rPr>
          <w:rFonts w:cs="David"/>
          <w:b/>
          <w:bCs/>
          <w:sz w:val="24"/>
          <w:rtl w:val="true"/>
        </w:rPr>
      </w:r>
    </w:p>
    <w:p>
      <w:pPr>
        <w:pStyle w:val="Style15"/>
        <w:ind w:hanging="0" w:start="2160" w:end="567"/>
        <w:jc w:val="both"/>
        <w:rPr>
          <w:b/>
          <w:bCs/>
          <w:sz w:val="24"/>
        </w:rPr>
      </w:pPr>
      <w:r>
        <w:rPr>
          <w:rFonts w:cs="David"/>
          <w:b/>
          <w:b/>
          <w:bCs/>
          <w:sz w:val="24"/>
          <w:sz w:val="24"/>
          <w:rtl w:val="true"/>
        </w:rPr>
        <w:t>בבואנו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להמליץ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לעניין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העונש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ומבלי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להתעלם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מחומרת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העבירה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לאחר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שחיים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היה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עצור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תקופה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ממושכת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ובחודשים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האחרונים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נמצא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בתנאי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מעצר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בית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מלאים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ולנוכח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עסקת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הטיעון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שקיימת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לגביו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נראה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לנו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במידה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וכב</w:t>
      </w:r>
      <w:r>
        <w:rPr>
          <w:rFonts w:cs="David"/>
          <w:b/>
          <w:bCs/>
          <w:sz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rtl w:val="true"/>
        </w:rPr>
        <w:t>ביהמ</w:t>
      </w:r>
      <w:r>
        <w:rPr>
          <w:rFonts w:cs="David"/>
          <w:b/>
          <w:bCs/>
          <w:sz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rtl w:val="true"/>
        </w:rPr>
        <w:t>ש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ימצא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זאת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לנכון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לשקול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האפשרות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הטלת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עונש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מאסר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שירוצה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בעבודות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שירות</w:t>
      </w:r>
      <w:r>
        <w:rPr>
          <w:rFonts w:cs="David"/>
          <w:b/>
          <w:bCs/>
          <w:sz w:val="24"/>
          <w:rtl w:val="true"/>
        </w:rPr>
        <w:t>".</w:t>
      </w:r>
    </w:p>
    <w:p>
      <w:pPr>
        <w:pStyle w:val="Normal"/>
        <w:ind w:end="0"/>
        <w:jc w:val="both"/>
        <w:rPr>
          <w:rFonts w:cs="David"/>
          <w:b/>
          <w:bCs/>
          <w:sz w:val="24"/>
        </w:rPr>
      </w:pPr>
      <w:r>
        <w:rPr>
          <w:rFonts w:cs="David"/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</w:rPr>
        <w:t>5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אילוק</w:t>
      </w:r>
      <w:r>
        <w:rPr>
          <w:rtl w:val="true"/>
        </w:rPr>
        <w:t xml:space="preserve">. </w:t>
      </w:r>
    </w:p>
    <w:p>
      <w:pPr>
        <w:pStyle w:val="Normal"/>
        <w:ind w:firstLine="153" w:start="567" w:end="0"/>
        <w:jc w:val="both"/>
        <w:rPr/>
      </w:pPr>
      <w:r>
        <w:rPr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שנלחם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לאיומים</w:t>
      </w:r>
      <w:r>
        <w:rPr>
          <w:rtl w:val="true"/>
        </w:rPr>
        <w:t xml:space="preserve">.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1134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27.5.07</w:t>
      </w:r>
      <w:r>
        <w:rPr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ארצית</w:t>
      </w:r>
      <w:r>
        <w:rPr>
          <w:rtl w:val="true"/>
        </w:rPr>
        <w:t>,</w:t>
      </w:r>
      <w:r>
        <w:rPr>
          <w:b/>
          <w:bCs/>
          <w:rtl w:val="true"/>
        </w:rPr>
        <w:t xml:space="preserve"> "</w:t>
      </w:r>
      <w:r>
        <w:rPr>
          <w:b/>
          <w:b/>
          <w:bCs/>
          <w:rtl w:val="true"/>
        </w:rPr>
        <w:t>תנאים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b/>
          <w:bCs/>
          <w:rtl w:val="true"/>
        </w:rPr>
        <w:t>".</w:t>
      </w:r>
      <w:r>
        <w:rPr>
          <w:rtl w:val="true"/>
        </w:rPr>
        <w:tab/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הצפוני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ההסכם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וסומן</w:t>
      </w:r>
      <w:r>
        <w:rPr>
          <w:rFonts w:cs="Times New Roman"/>
          <w:b/>
          <w:b/>
          <w:bCs/>
          <w:rtl w:val="true"/>
        </w:rPr>
        <w:t xml:space="preserve">      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), </w:t>
      </w:r>
      <w:r>
        <w:rPr>
          <w:rtl w:val="true"/>
        </w:rPr>
        <w:t>לשתף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Normal"/>
        <w:ind w:hanging="1134" w:start="1134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>.</w:t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ואמנם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אבסורדי</w:t>
      </w:r>
      <w:r>
        <w:rPr>
          <w:b/>
          <w:bCs/>
          <w:rtl w:val="true"/>
        </w:rPr>
        <w:t xml:space="preserve">":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שכנגדם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מאויים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שוטרים</w:t>
      </w:r>
      <w:r>
        <w:rPr>
          <w:b/>
          <w:bCs/>
          <w:rtl w:val="true"/>
        </w:rPr>
        <w:t>".</w:t>
      </w:r>
    </w:p>
    <w:p>
      <w:pPr>
        <w:pStyle w:val="Normal"/>
        <w:ind w:hanging="1134" w:start="1134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b/>
          <w:bCs/>
          <w:rtl w:val="true"/>
        </w:rPr>
        <w:tab/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ארבעת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השוטרים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הנוקמים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מנהריה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שוטרים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חשופים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בניידת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סוף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תדפיסים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המוצג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b/>
          <w:bCs/>
          <w:rtl w:val="true"/>
        </w:rPr>
        <w:t>).</w:t>
      </w:r>
    </w:p>
    <w:p>
      <w:pPr>
        <w:pStyle w:val="Normal"/>
        <w:ind w:hanging="1134" w:start="1134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ששילמתי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שעשיתי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ind w:hanging="1134" w:start="1134" w:end="0"/>
        <w:jc w:val="both"/>
        <w:rPr/>
      </w:pPr>
      <w:r>
        <w:rPr>
          <w:rtl w:val="true"/>
        </w:rPr>
      </w:r>
    </w:p>
    <w:p>
      <w:pPr>
        <w:pStyle w:val="Style15"/>
        <w:ind w:hanging="0" w:start="2160" w:end="567"/>
        <w:jc w:val="both"/>
        <w:rPr>
          <w:b/>
          <w:bCs/>
          <w:sz w:val="24"/>
        </w:rPr>
      </w:pPr>
      <w:r>
        <w:rPr>
          <w:rFonts w:cs="David"/>
          <w:b/>
          <w:bCs/>
          <w:sz w:val="24"/>
          <w:rtl w:val="true"/>
        </w:rPr>
        <w:t xml:space="preserve">"(...) </w:t>
      </w:r>
      <w:r>
        <w:rPr>
          <w:rFonts w:cs="David"/>
          <w:b/>
          <w:b/>
          <w:bCs/>
          <w:sz w:val="24"/>
          <w:sz w:val="24"/>
          <w:rtl w:val="true"/>
        </w:rPr>
        <w:t>יאפשר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לחזור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לחיים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רגילים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נורמטיביים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ולשקם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משפחתי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שהתפרקה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לי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במהלך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כל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התקופה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הזאת</w:t>
      </w:r>
      <w:r>
        <w:rPr>
          <w:rFonts w:cs="David"/>
          <w:b/>
          <w:bCs/>
          <w:sz w:val="24"/>
          <w:rtl w:val="true"/>
        </w:rPr>
        <w:t>. (...)".</w:t>
      </w:r>
    </w:p>
    <w:p>
      <w:pPr>
        <w:pStyle w:val="Style15"/>
        <w:ind w:hanging="0" w:start="2160" w:end="567"/>
        <w:jc w:val="both"/>
        <w:rPr>
          <w:rFonts w:cs="David"/>
          <w:b/>
          <w:bCs/>
          <w:sz w:val="24"/>
        </w:rPr>
      </w:pPr>
      <w:r>
        <w:rPr>
          <w:rFonts w:cs="David"/>
          <w:b/>
          <w:bCs/>
          <w:sz w:val="24"/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ind w:hanging="1440" w:start="1440" w:end="0"/>
        <w:jc w:val="both"/>
        <w:rPr/>
      </w:pPr>
      <w:r>
        <w:rPr>
          <w:rtl w:val="true"/>
        </w:rPr>
      </w:r>
    </w:p>
    <w:p>
      <w:pPr>
        <w:pStyle w:val="Normal"/>
        <w:ind w:start="567" w:end="0"/>
        <w:jc w:val="both"/>
        <w:rPr/>
      </w:pP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ולטר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3-6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והשתחרר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אלוף</w:t>
      </w:r>
      <w:r>
        <w:rPr>
          <w:rtl w:val="true"/>
        </w:rPr>
        <w:t xml:space="preserve">. </w:t>
      </w:r>
      <w:r>
        <w:rPr>
          <w:rtl w:val="true"/>
        </w:rPr>
        <w:t>הכרותו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המפקחים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הקטסטרופאלית</w:t>
      </w:r>
      <w:r>
        <w:rPr>
          <w:b/>
          <w:bCs/>
          <w:rtl w:val="true"/>
        </w:rPr>
        <w:t xml:space="preserve">", </w:t>
      </w:r>
      <w:r>
        <w:rPr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שהלוואת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המשכנתא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ננקטו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מהדירה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לרחוב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שילמו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משכנתא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כבת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)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פירוק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זהו</w:t>
      </w:r>
      <w:r>
        <w:rPr>
          <w:b/>
          <w:bCs/>
          <w:rtl w:val="true"/>
        </w:rPr>
        <w:t>".</w:t>
      </w:r>
    </w:p>
    <w:p>
      <w:pPr>
        <w:pStyle w:val="Normal"/>
        <w:ind w:hanging="414" w:start="1134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</w:rPr>
        <w:t>6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</w:r>
    </w:p>
    <w:p>
      <w:pPr>
        <w:pStyle w:val="Normal"/>
        <w:ind w:hanging="414" w:start="1134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ולטר</w:t>
      </w:r>
      <w:r>
        <w:rPr>
          <w:rtl w:val="true"/>
        </w:rPr>
        <w:t xml:space="preserve">, 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27.5.07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11.11.07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414" w:start="1134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ולטר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 xml:space="preserve">: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החסכון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>;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שהניחו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לעבריינים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tl w:val="true"/>
        </w:rPr>
        <w:t xml:space="preserve">.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מאומצת</w:t>
      </w:r>
      <w:r>
        <w:rPr>
          <w:rtl w:val="true"/>
        </w:rPr>
        <w:t xml:space="preserve">, </w:t>
      </w:r>
      <w:r>
        <w:rPr>
          <w:rtl w:val="true"/>
        </w:rPr>
        <w:t>לפענוח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 </w:t>
        <w:tab/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Cs/>
          <w:rtl w:val="true"/>
        </w:rPr>
        <w:tab/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</w:t>
        <w:tab/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.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החשיפה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שהוחלט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לחשוף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שבוצעו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שוטרים</w:t>
      </w:r>
      <w:r>
        <w:rPr>
          <w:b/>
          <w:bCs/>
          <w:rtl w:val="true"/>
        </w:rPr>
        <w:t>".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. </w:t>
        <w:tab/>
        <w:tab/>
      </w:r>
      <w:r>
        <w:rPr>
          <w:rtl w:val="true"/>
        </w:rPr>
        <w:t>בא</w:t>
      </w:r>
      <w:r>
        <w:rPr>
          <w:rtl w:val="true"/>
        </w:rPr>
        <w:tab/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b/>
          <w:bCs/>
          <w:rtl w:val="true"/>
        </w:rPr>
        <w:t>".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</w:rPr>
        <w:t>7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  <w:tab/>
        <w:tab/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  <w:tab/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tl w:val="true"/>
        </w:rPr>
        <w:t xml:space="preserve">, </w:t>
      </w:r>
      <w:r>
        <w:rPr>
          <w:rtl w:val="true"/>
        </w:rPr>
        <w:t>רקעו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התמקדות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  <w:tab/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פרופורציה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חשף</w:t>
      </w:r>
      <w:r>
        <w:rPr>
          <w:b/>
          <w:bCs/>
          <w:rtl w:val="true"/>
        </w:rPr>
        <w:t xml:space="preserve">",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למוות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בעיניים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</w:t>
        <w:tab/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שנועדה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ולהתנתקות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הגרעינית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לקיתונות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</w:t>
      </w:r>
      <w:r>
        <w:rPr>
          <w:rtl w:val="true"/>
        </w:rPr>
        <w:t xml:space="preserve">, </w:t>
      </w:r>
      <w:r>
        <w:rPr>
          <w:rtl w:val="true"/>
        </w:rPr>
        <w:t>עלבונות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והשפלות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מעצר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שמשליך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הסובבים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b/>
          <w:bCs/>
          <w:rtl w:val="true"/>
        </w:rPr>
        <w:t>".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. </w:t>
        <w:tab/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. </w:t>
        <w:tab/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</w:t>
      </w:r>
      <w:r>
        <w:rPr>
          <w:rtl w:val="true"/>
        </w:rPr>
        <w:t xml:space="preserve">. </w:t>
      </w:r>
      <w:r>
        <w:rPr>
          <w:rtl w:val="true"/>
        </w:rPr>
        <w:t>נזקו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שיקבל</w:t>
      </w:r>
      <w:r>
        <w:rPr>
          <w:b/>
          <w:bCs/>
          <w:rtl w:val="true"/>
        </w:rPr>
        <w:t>".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. </w:t>
        <w:tab/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Style15"/>
        <w:ind w:hanging="0" w:start="2160" w:end="567"/>
        <w:jc w:val="both"/>
        <w:rPr>
          <w:b/>
          <w:bCs/>
          <w:sz w:val="24"/>
        </w:rPr>
      </w:pPr>
      <w:r>
        <w:rPr>
          <w:rFonts w:cs="David"/>
          <w:b/>
          <w:bCs/>
          <w:sz w:val="24"/>
          <w:rtl w:val="true"/>
        </w:rPr>
        <w:t xml:space="preserve">"(...) </w:t>
      </w:r>
      <w:r>
        <w:rPr>
          <w:rFonts w:cs="David"/>
          <w:b/>
          <w:b/>
          <w:bCs/>
          <w:sz w:val="24"/>
          <w:sz w:val="24"/>
          <w:rtl w:val="true"/>
        </w:rPr>
        <w:t>העבירה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הכשלת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שוטר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בעצם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באה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רקע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העובדה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שנתפסו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קלטות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אינטימיות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הנאשם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ואשתו</w:t>
      </w:r>
      <w:r>
        <w:rPr>
          <w:rFonts w:cs="David"/>
          <w:b/>
          <w:bCs/>
          <w:sz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</w:rPr>
        <w:t>כך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שהמניע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היה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להגן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על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כבודו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וכבודה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ולא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מניע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להכשיל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את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</w:rPr>
        <w:t>המעצר</w:t>
      </w:r>
      <w:r>
        <w:rPr>
          <w:b/>
          <w:b/>
          <w:bCs/>
          <w:sz w:val="24"/>
          <w:sz w:val="24"/>
          <w:rtl w:val="true"/>
        </w:rPr>
        <w:t xml:space="preserve"> </w:t>
      </w:r>
      <w:r>
        <w:rPr>
          <w:rFonts w:cs="David"/>
          <w:b/>
          <w:bCs/>
          <w:sz w:val="24"/>
          <w:rtl w:val="true"/>
        </w:rPr>
        <w:t>(...)".</w:t>
      </w:r>
    </w:p>
    <w:p>
      <w:pPr>
        <w:pStyle w:val="Normal"/>
        <w:ind w:end="0"/>
        <w:jc w:val="both"/>
        <w:rPr>
          <w:rFonts w:cs="David"/>
          <w:b/>
          <w:bCs/>
          <w:sz w:val="24"/>
        </w:rPr>
      </w:pPr>
      <w:r>
        <w:rPr>
          <w:rFonts w:cs="David"/>
          <w:b/>
          <w:bCs/>
          <w:sz w:val="24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. </w:t>
        <w:tab/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מהסס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ארוכה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ידוע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עצמם</w:t>
      </w:r>
      <w:r>
        <w:rPr>
          <w:b/>
          <w:bCs/>
          <w:rtl w:val="true"/>
        </w:rPr>
        <w:t xml:space="preserve">. (...).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אינדיוידואלית</w:t>
      </w:r>
      <w:r>
        <w:rPr>
          <w:b/>
          <w:bCs/>
          <w:rtl w:val="true"/>
        </w:rPr>
        <w:t xml:space="preserve">. (...).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יסתפק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b/>
          <w:bCs/>
          <w:rtl w:val="true"/>
        </w:rPr>
        <w:t xml:space="preserve">".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  <w:tab/>
      </w:r>
    </w:p>
    <w:p>
      <w:pPr>
        <w:pStyle w:val="Normal"/>
        <w:ind w:end="0"/>
        <w:jc w:val="both"/>
        <w:rPr/>
      </w:pPr>
      <w:r>
        <w:rPr>
          <w:b/>
          <w:bCs/>
        </w:rPr>
        <w:t>8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rtl w:val="true"/>
        </w:rPr>
        <w:tab/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וחומרתן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!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וגיוונן</w:t>
      </w:r>
      <w:r>
        <w:rPr>
          <w:rtl w:val="true"/>
        </w:rPr>
        <w:t xml:space="preserve">.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המוסריים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. </w:t>
      </w:r>
      <w:r>
        <w:rPr>
          <w:rtl w:val="true"/>
        </w:rPr>
        <w:t>והנה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ולעולמם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ומתכנן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העבריינים</w:t>
      </w:r>
      <w:r>
        <w:rPr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בעשותו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הזוממים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</w:t>
      </w:r>
      <w:r>
        <w:rPr>
          <w:b/>
          <w:bCs/>
          <w:rtl w:val="true"/>
        </w:rPr>
        <w:t xml:space="preserve">".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ab/>
        <w:tab/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כספה</w:t>
      </w:r>
      <w:r>
        <w:rPr>
          <w:rtl w:val="true"/>
        </w:rPr>
        <w:t xml:space="preserve">,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יאזין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המשטרתית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ויזהיר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הפורץ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ישמע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הפריצה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דומה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למידת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החוצפה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ולשפל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אליהם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התדרדר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rtl w:val="true"/>
        </w:rPr>
        <w:t>!</w:t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: </w:t>
      </w:r>
      <w:r>
        <w:rPr>
          <w:rtl w:val="true"/>
        </w:rPr>
        <w:t>במציאות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ההוקרה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המוצג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) </w:t>
      </w:r>
      <w:r>
        <w:rPr>
          <w:rtl w:val="true"/>
        </w:rPr>
        <w:t>פאתטית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כמוה</w:t>
      </w:r>
      <w:r>
        <w:rPr>
          <w:rtl w:val="true"/>
        </w:rPr>
        <w:t xml:space="preserve">!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הטמינו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החשד</w:t>
      </w:r>
      <w:r>
        <w:rPr>
          <w:rtl w:val="true"/>
        </w:rPr>
        <w:t xml:space="preserve">,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ולמען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טהור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טובת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ימסור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. </w:t>
      </w:r>
      <w:r>
        <w:rPr>
          <w:rtl w:val="true"/>
        </w:rPr>
        <w:t>ואמנם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b/>
          <w:bCs/>
          <w:rtl w:val="true"/>
        </w:rPr>
        <w:t xml:space="preserve">),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end="0"/>
        <w:jc w:val="both"/>
        <w:rPr/>
      </w:pPr>
      <w:r>
        <w:rPr>
          <w:b/>
          <w:bCs/>
        </w:rPr>
        <w:t>9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אחרית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שלוש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עשרים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ושניים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27.5.07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11.11.07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ab/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בפומבי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לצדדים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19" w:name="Decision2"/>
      <w:bookmarkStart w:id="20" w:name="Decision1"/>
      <w:bookmarkEnd w:id="20"/>
      <w:r>
        <w:rPr>
          <w:rFonts w:cs="Times New Roman"/>
          <w:color w:val="000000"/>
          <w:rtl w:val="true"/>
        </w:rPr>
        <w:t xml:space="preserve">  </w:t>
      </w: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בניסן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27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באפריל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2008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</w:t>
      </w:r>
      <w:bookmarkEnd w:id="19"/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bidiVisual w:val="true"/>
        <w:tblW w:w="1951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</w:tblGrid>
      <w:tr>
        <w:trPr/>
        <w:tc>
          <w:tcPr>
            <w:tcW w:w="195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עודד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גרשון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יריב</w:t>
      </w:r>
      <w:r>
        <w:rPr>
          <w:b/>
          <w:bCs/>
          <w:rtl w:val="true"/>
        </w:rPr>
        <w:t>:</w:t>
      </w:r>
    </w:p>
    <w:p>
      <w:pPr>
        <w:pStyle w:val="BodyText"/>
        <w:ind w:end="0"/>
        <w:jc w:val="both"/>
        <w:rPr/>
      </w:pP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Normal"/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>:</w:t>
      </w:r>
    </w:p>
    <w:p>
      <w:pPr>
        <w:pStyle w:val="BodyText2"/>
        <w:ind w:end="0"/>
        <w:jc w:val="both"/>
        <w:rPr/>
      </w:pPr>
      <w:r>
        <w:rPr>
          <w:rtl w:val="true"/>
        </w:rPr>
        <w:t>מתנגד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והאפשרות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העקורנות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התארגנות</w:t>
      </w:r>
      <w:r>
        <w:rPr>
          <w:rtl w:val="true"/>
        </w:rPr>
        <w:t xml:space="preserve">. 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ind w:end="0"/>
        <w:jc w:val="both"/>
        <w:rPr/>
      </w:pPr>
      <w:r>
        <w:rPr>
          <w:rtl w:val="true"/>
        </w:rPr>
        <w:t>הסניגור</w:t>
      </w:r>
      <w:r>
        <w:rPr>
          <w:rtl w:val="true"/>
        </w:rPr>
        <w:t>:</w:t>
      </w:r>
    </w:p>
    <w:p>
      <w:pPr>
        <w:pStyle w:val="BodyText2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התארגנות</w:t>
      </w:r>
      <w:r>
        <w:rPr>
          <w:rtl w:val="true"/>
        </w:rPr>
        <w:t xml:space="preserve">.  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/>
      </w:pPr>
      <w:bookmarkStart w:id="21" w:name="Decision3"/>
      <w:r>
        <w:rPr>
          <w:rtl w:val="true"/>
        </w:rPr>
        <w:t>החלטה</w:t>
      </w:r>
      <w:bookmarkEnd w:id="21"/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BodyText3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הבוקר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נדחית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בניסן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באפריל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2008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bidiVisual w:val="true"/>
        <w:tblW w:w="1951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</w:tblGrid>
      <w:tr>
        <w:trPr/>
        <w:tc>
          <w:tcPr>
            <w:tcW w:w="195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עודד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גרשון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הסניגור</w:t>
      </w:r>
      <w:r>
        <w:rPr>
          <w:b/>
          <w:bCs/>
          <w:rtl w:val="true"/>
        </w:rPr>
        <w:t xml:space="preserve">: 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התייצב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השיחרור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לעיכוב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סיכויי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ההחלטה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עיכוב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ההחלטה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1"/>
        <w:ind w:end="0"/>
        <w:jc w:val="center"/>
        <w:rPr/>
      </w:pPr>
      <w:bookmarkStart w:id="22" w:name="Decision4"/>
      <w:r>
        <w:rPr>
          <w:rtl w:val="true"/>
        </w:rPr>
        <w:t>החלטה</w:t>
      </w:r>
      <w:bookmarkEnd w:id="22"/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נדחית</w:t>
      </w:r>
      <w:r>
        <w:rPr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/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עודד גרשון </w:t>
      </w:r>
      <w:r>
        <w:rPr>
          <w:rFonts w:cs="David" w:ascii="David" w:hAnsi="David"/>
          <w:color w:val="000000"/>
          <w:sz w:val="22"/>
          <w:szCs w:val="22"/>
        </w:rPr>
        <w:t>54678313-6075/07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בניסן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באפריל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2008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  <w:r>
        <w:rPr>
          <w:rtl w:val="true"/>
        </w:rPr>
        <w:t xml:space="preserve">                                                                               </w:t>
      </w:r>
    </w:p>
    <w:tbl>
      <w:tblPr>
        <w:bidiVisual w:val="true"/>
        <w:tblW w:w="1951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</w:tblGrid>
      <w:tr>
        <w:trPr/>
        <w:tc>
          <w:tcPr>
            <w:tcW w:w="195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עודד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גרשון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b/>
          <w:b/>
          <w:bCs/>
          <w:rtl w:val="true"/>
        </w:rPr>
        <w:t>סוזי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1"/>
      <w:footerReference w:type="default" r:id="rId42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/Users/liorb/Downloads/study2025-p2/m07006075-239.doc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6075/07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חיים משה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567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</w:tabs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</w:tabs>
      <w:spacing w:lineRule="auto" w:line="240"/>
      <w:ind w:hanging="0" w:start="0" w:end="0"/>
      <w:jc w:val="center"/>
    </w:pPr>
    <w:rPr>
      <w:b/>
      <w:bCs/>
      <w:color w:val="FF0000"/>
      <w:sz w:val="44"/>
      <w:szCs w:val="44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mmentText">
    <w:name w:val="Comment Text"/>
    <w:basedOn w:val="Normal"/>
    <w:qFormat/>
    <w:pPr>
      <w:ind w:hanging="0" w:start="0" w:end="0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2">
    <w:name w:val="Body Text 2"/>
    <w:basedOn w:val="Normal"/>
    <w:qFormat/>
    <w:pPr>
      <w:ind w:hanging="0" w:start="0" w:end="0"/>
      <w:jc w:val="both"/>
    </w:pPr>
    <w:rPr/>
  </w:style>
  <w:style w:type="paragraph" w:styleId="BodyText3">
    <w:name w:val="Body Text 3"/>
    <w:basedOn w:val="Normal"/>
    <w:qFormat/>
    <w:pPr>
      <w:suppressLineNumbers/>
      <w:ind w:hanging="0" w:start="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ציטוט"/>
    <w:basedOn w:val="Normal"/>
    <w:qFormat/>
    <w:pPr>
      <w:ind w:hanging="0" w:start="1418" w:end="1418"/>
      <w:jc w:val="both"/>
    </w:pPr>
    <w:rPr>
      <w:b/>
      <w:bCs/>
      <w:sz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5">
    <w:name w:val="צטוט"/>
    <w:basedOn w:val="Normal"/>
    <w:qFormat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</w:tabs>
      <w:ind w:hanging="720" w:start="567" w:end="567"/>
      <w:jc w:val="both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144.c.1" TargetMode="External"/><Relationship Id="rId9" Type="http://schemas.openxmlformats.org/officeDocument/2006/relationships/hyperlink" Target="http://www.nevo.co.il/law/70301/144.c.2" TargetMode="External"/><Relationship Id="rId10" Type="http://schemas.openxmlformats.org/officeDocument/2006/relationships/hyperlink" Target="http://www.nevo.co.il/law/70301/144.c.3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/275" TargetMode="External"/><Relationship Id="rId13" Type="http://schemas.openxmlformats.org/officeDocument/2006/relationships/hyperlink" Target="http://www.nevo.co.il/law/70301/284" TargetMode="External"/><Relationship Id="rId14" Type="http://schemas.openxmlformats.org/officeDocument/2006/relationships/hyperlink" Target="http://www.nevo.co.il/law/70301/406.b" TargetMode="External"/><Relationship Id="rId15" Type="http://schemas.openxmlformats.org/officeDocument/2006/relationships/hyperlink" Target="http://www.nevo.co.il/law/70301/413e" TargetMode="External"/><Relationship Id="rId16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71631" TargetMode="External"/><Relationship Id="rId18" Type="http://schemas.openxmlformats.org/officeDocument/2006/relationships/hyperlink" Target="http://www.nevo.co.il/law/71631/16" TargetMode="External"/><Relationship Id="rId19" Type="http://schemas.openxmlformats.org/officeDocument/2006/relationships/hyperlink" Target="http://www.nevo.co.il/law/70301/499.a.1" TargetMode="External"/><Relationship Id="rId20" Type="http://schemas.openxmlformats.org/officeDocument/2006/relationships/hyperlink" Target="http://www.nevo.co.il/law/70301/413e" TargetMode="External"/><Relationship Id="rId21" Type="http://schemas.openxmlformats.org/officeDocument/2006/relationships/hyperlink" Target="http://www.nevo.co.il/law/70301/25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1631/16" TargetMode="External"/><Relationship Id="rId24" Type="http://schemas.openxmlformats.org/officeDocument/2006/relationships/hyperlink" Target="http://www.nevo.co.il/law/71631" TargetMode="External"/><Relationship Id="rId25" Type="http://schemas.openxmlformats.org/officeDocument/2006/relationships/hyperlink" Target="http://www.nevo.co.il/law/70301/284" TargetMode="External"/><Relationship Id="rId26" Type="http://schemas.openxmlformats.org/officeDocument/2006/relationships/hyperlink" Target="http://www.nevo.co.il/law/70301/499.a.1" TargetMode="External"/><Relationship Id="rId27" Type="http://schemas.openxmlformats.org/officeDocument/2006/relationships/hyperlink" Target="http://www.nevo.co.il/law/70301/406.b" TargetMode="External"/><Relationship Id="rId28" Type="http://schemas.openxmlformats.org/officeDocument/2006/relationships/hyperlink" Target="http://www.nevo.co.il/law/70301/25" TargetMode="External"/><Relationship Id="rId29" Type="http://schemas.openxmlformats.org/officeDocument/2006/relationships/hyperlink" Target="http://www.nevo.co.il/law/70301/144" TargetMode="External"/><Relationship Id="rId30" Type="http://schemas.openxmlformats.org/officeDocument/2006/relationships/hyperlink" Target="http://www.nevo.co.il/law/70301/144.c.1" TargetMode="External"/><Relationship Id="rId31" Type="http://schemas.openxmlformats.org/officeDocument/2006/relationships/hyperlink" Target="http://www.nevo.co.il/law/70301/144.c.2" TargetMode="External"/><Relationship Id="rId32" Type="http://schemas.openxmlformats.org/officeDocument/2006/relationships/hyperlink" Target="http://www.nevo.co.il/law/70301/144.c.3" TargetMode="External"/><Relationship Id="rId33" Type="http://schemas.openxmlformats.org/officeDocument/2006/relationships/hyperlink" Target="http://www.nevo.co.il/law/70301/144.c.1" TargetMode="External"/><Relationship Id="rId34" Type="http://schemas.openxmlformats.org/officeDocument/2006/relationships/hyperlink" Target="http://www.nevo.co.il/law/70301/144.c.3" TargetMode="External"/><Relationship Id="rId35" Type="http://schemas.openxmlformats.org/officeDocument/2006/relationships/hyperlink" Target="http://www.nevo.co.il/law/70301/144.a" TargetMode="External"/><Relationship Id="rId36" Type="http://schemas.openxmlformats.org/officeDocument/2006/relationships/hyperlink" Target="http://www.nevo.co.il/law/70301/144.b" TargetMode="External"/><Relationship Id="rId37" Type="http://schemas.openxmlformats.org/officeDocument/2006/relationships/hyperlink" Target="http://www.nevo.co.il/law/70301/144.b2" TargetMode="External"/><Relationship Id="rId38" Type="http://schemas.openxmlformats.org/officeDocument/2006/relationships/hyperlink" Target="http://www.nevo.co.il/law/70301/284" TargetMode="External"/><Relationship Id="rId39" Type="http://schemas.openxmlformats.org/officeDocument/2006/relationships/hyperlink" Target="http://www.nevo.co.il/law/70301/275" TargetMode="External"/><Relationship Id="rId40" Type="http://schemas.openxmlformats.org/officeDocument/2006/relationships/hyperlink" Target="http://www.nevo.co.il/law/70301/192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2015-07-22T13:22:00Z</dcterms:created>
  <dc:creator> </dc:creator>
  <dc:description/>
  <cp:keywords/>
  <dc:language>en-IL</dc:language>
  <cp:lastModifiedBy>orit</cp:lastModifiedBy>
  <dcterms:modified xsi:type="dcterms:W3CDTF">2015-07-22T13:22:00Z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חיים משה</vt:lpwstr>
  </property>
  <property fmtid="{D5CDD505-2E9C-101B-9397-08002B2CF9AE}" pid="4" name="CITY">
    <vt:lpwstr>חי'</vt:lpwstr>
  </property>
  <property fmtid="{D5CDD505-2E9C-101B-9397-08002B2CF9AE}" pid="5" name="DATE">
    <vt:lpwstr>20080427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עודד גרשון</vt:lpwstr>
  </property>
  <property fmtid="{D5CDD505-2E9C-101B-9397-08002B2CF9AE}" pid="9" name="LAWLISTTMP1">
    <vt:lpwstr>70301/499.a.1:2;413e;025:2;284:2;406.b;144;144.c.1:2;144.c.2;144.c.3:2;144.a;144.b;144.b2;275;192</vt:lpwstr>
  </property>
  <property fmtid="{D5CDD505-2E9C-101B-9397-08002B2CF9AE}" pid="10" name="LAWLISTTMP2">
    <vt:lpwstr>71631/016</vt:lpwstr>
  </property>
  <property fmtid="{D5CDD505-2E9C-101B-9397-08002B2CF9AE}" pid="11" name="LAWYER">
    <vt:lpwstr>יריב אבים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METAKZER">
    <vt:lpwstr>פאני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/>
  </property>
  <property fmtid="{D5CDD505-2E9C-101B-9397-08002B2CF9AE}" pid="32" name="NOSE13">
    <vt:lpwstr/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/>
  </property>
  <property fmtid="{D5CDD505-2E9C-101B-9397-08002B2CF9AE}" pid="42" name="NOSE23">
    <vt:lpwstr/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31">
    <vt:lpwstr>מדיניות ענישה</vt:lpwstr>
  </property>
  <property fmtid="{D5CDD505-2E9C-101B-9397-08002B2CF9AE}" pid="50" name="NOSE310">
    <vt:lpwstr/>
  </property>
  <property fmtid="{D5CDD505-2E9C-101B-9397-08002B2CF9AE}" pid="51" name="NOSE32">
    <vt:lpwstr/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PADIMAIL">
    <vt:lpwstr>YES</vt:lpwstr>
  </property>
  <property fmtid="{D5CDD505-2E9C-101B-9397-08002B2CF9AE}" pid="60" name="PAGE">
    <vt:lpwstr/>
  </property>
  <property fmtid="{D5CDD505-2E9C-101B-9397-08002B2CF9AE}" pid="61" name="PART">
    <vt:lpwstr/>
  </property>
  <property fmtid="{D5CDD505-2E9C-101B-9397-08002B2CF9AE}" pid="62" name="PROCESS">
    <vt:lpwstr>תפ</vt:lpwstr>
  </property>
  <property fmtid="{D5CDD505-2E9C-101B-9397-08002B2CF9AE}" pid="63" name="PROCNUM">
    <vt:lpwstr>6075</vt:lpwstr>
  </property>
  <property fmtid="{D5CDD505-2E9C-101B-9397-08002B2CF9AE}" pid="64" name="PROCYEAR">
    <vt:lpwstr>07</vt:lpwstr>
  </property>
  <property fmtid="{D5CDD505-2E9C-101B-9397-08002B2CF9AE}" pid="65" name="PSAKDIN">
    <vt:lpwstr>גזר-דין</vt:lpwstr>
  </property>
  <property fmtid="{D5CDD505-2E9C-101B-9397-08002B2CF9AE}" pid="66" name="TYPE">
    <vt:lpwstr>2</vt:lpwstr>
  </property>
  <property fmtid="{D5CDD505-2E9C-101B-9397-08002B2CF9AE}" pid="67" name="TYPE_N_DATE">
    <vt:lpwstr>39020080427</vt:lpwstr>
  </property>
  <property fmtid="{D5CDD505-2E9C-101B-9397-08002B2CF9AE}" pid="68" name="VOLUME">
    <vt:lpwstr/>
  </property>
  <property fmtid="{D5CDD505-2E9C-101B-9397-08002B2CF9AE}" pid="69" name="WORDNUMPAGES">
    <vt:lpwstr>16</vt:lpwstr>
  </property>
</Properties>
</file>